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7C" w:rsidRPr="005C107C" w:rsidRDefault="00C95CE8" w:rsidP="005C1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107C">
        <w:rPr>
          <w:rFonts w:ascii="Times New Roman" w:hAnsi="Times New Roman" w:cs="Times New Roman"/>
          <w:sz w:val="24"/>
          <w:szCs w:val="24"/>
        </w:rPr>
        <w:t xml:space="preserve">Создание финансового </w:t>
      </w:r>
      <w:proofErr w:type="spellStart"/>
      <w:r w:rsidRPr="005C107C">
        <w:rPr>
          <w:rFonts w:ascii="Times New Roman" w:hAnsi="Times New Roman" w:cs="Times New Roman"/>
          <w:sz w:val="24"/>
          <w:szCs w:val="24"/>
        </w:rPr>
        <w:t>мегарегулятора</w:t>
      </w:r>
      <w:proofErr w:type="spellEnd"/>
      <w:r w:rsidRPr="005C107C">
        <w:rPr>
          <w:rFonts w:ascii="Times New Roman" w:hAnsi="Times New Roman" w:cs="Times New Roman"/>
          <w:sz w:val="24"/>
          <w:szCs w:val="24"/>
        </w:rPr>
        <w:t xml:space="preserve"> в конце 2012 года произошло путем слияния Банка России</w:t>
      </w:r>
      <w:r w:rsidRPr="00C95CE8">
        <w:t xml:space="preserve"> </w:t>
      </w:r>
      <w:r w:rsidRPr="005C107C">
        <w:rPr>
          <w:rFonts w:ascii="Times New Roman" w:hAnsi="Times New Roman" w:cs="Times New Roman"/>
          <w:sz w:val="24"/>
          <w:szCs w:val="24"/>
        </w:rPr>
        <w:t>и Федеральной службы по финансовым рынкам на базе ЦБ. В связи с этим все участники финансового рынка находятся в о</w:t>
      </w:r>
      <w:r w:rsidR="00685F0B" w:rsidRPr="005C107C">
        <w:rPr>
          <w:rFonts w:ascii="Times New Roman" w:hAnsi="Times New Roman" w:cs="Times New Roman"/>
          <w:sz w:val="24"/>
          <w:szCs w:val="24"/>
        </w:rPr>
        <w:t>жидании изме</w:t>
      </w:r>
      <w:r w:rsidR="00582DCC" w:rsidRPr="005C107C">
        <w:rPr>
          <w:rFonts w:ascii="Times New Roman" w:hAnsi="Times New Roman" w:cs="Times New Roman"/>
          <w:sz w:val="24"/>
          <w:szCs w:val="24"/>
        </w:rPr>
        <w:t>нений в надзоре</w:t>
      </w:r>
      <w:r w:rsidR="00442A67">
        <w:rPr>
          <w:rFonts w:ascii="Times New Roman" w:hAnsi="Times New Roman" w:cs="Times New Roman"/>
          <w:sz w:val="24"/>
          <w:szCs w:val="24"/>
        </w:rPr>
        <w:t>. С</w:t>
      </w:r>
      <w:r w:rsidR="00685F0B" w:rsidRPr="005C107C">
        <w:rPr>
          <w:rFonts w:ascii="Times New Roman" w:hAnsi="Times New Roman" w:cs="Times New Roman"/>
          <w:sz w:val="24"/>
          <w:szCs w:val="24"/>
        </w:rPr>
        <w:t xml:space="preserve">траховщики </w:t>
      </w:r>
      <w:r w:rsidR="00442A67">
        <w:rPr>
          <w:rFonts w:ascii="Times New Roman" w:hAnsi="Times New Roman" w:cs="Times New Roman"/>
          <w:sz w:val="24"/>
          <w:szCs w:val="24"/>
        </w:rPr>
        <w:t xml:space="preserve">же </w:t>
      </w:r>
      <w:r w:rsidR="00685F0B" w:rsidRPr="005C107C">
        <w:rPr>
          <w:rFonts w:ascii="Times New Roman" w:hAnsi="Times New Roman" w:cs="Times New Roman"/>
          <w:sz w:val="24"/>
          <w:szCs w:val="24"/>
        </w:rPr>
        <w:t>готовятся к тому, что</w:t>
      </w:r>
      <w:r w:rsidRPr="005C107C">
        <w:rPr>
          <w:rFonts w:ascii="Times New Roman" w:hAnsi="Times New Roman" w:cs="Times New Roman"/>
          <w:sz w:val="24"/>
          <w:szCs w:val="24"/>
        </w:rPr>
        <w:t xml:space="preserve"> практика регулирования банковской деятельности </w:t>
      </w:r>
      <w:r w:rsidR="00685F0B" w:rsidRPr="005C107C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5C107C">
        <w:rPr>
          <w:rFonts w:ascii="Times New Roman" w:hAnsi="Times New Roman" w:cs="Times New Roman"/>
          <w:sz w:val="24"/>
          <w:szCs w:val="24"/>
        </w:rPr>
        <w:t>распространит</w:t>
      </w:r>
      <w:r w:rsidR="00685F0B" w:rsidRPr="005C107C">
        <w:rPr>
          <w:rFonts w:ascii="Times New Roman" w:hAnsi="Times New Roman" w:cs="Times New Roman"/>
          <w:sz w:val="24"/>
          <w:szCs w:val="24"/>
        </w:rPr>
        <w:t>ь</w:t>
      </w:r>
      <w:r w:rsidRPr="005C107C">
        <w:rPr>
          <w:rFonts w:ascii="Times New Roman" w:hAnsi="Times New Roman" w:cs="Times New Roman"/>
          <w:sz w:val="24"/>
          <w:szCs w:val="24"/>
        </w:rPr>
        <w:t xml:space="preserve">ся и на </w:t>
      </w:r>
      <w:r w:rsidR="00685F0B" w:rsidRPr="005C107C">
        <w:rPr>
          <w:rFonts w:ascii="Times New Roman" w:hAnsi="Times New Roman" w:cs="Times New Roman"/>
          <w:sz w:val="24"/>
          <w:szCs w:val="24"/>
        </w:rPr>
        <w:t>них</w:t>
      </w:r>
      <w:r w:rsidRPr="005C107C">
        <w:rPr>
          <w:rFonts w:ascii="Times New Roman" w:hAnsi="Times New Roman" w:cs="Times New Roman"/>
          <w:sz w:val="24"/>
          <w:szCs w:val="24"/>
        </w:rPr>
        <w:t xml:space="preserve"> </w:t>
      </w:r>
      <w:r w:rsidR="00CB65D4" w:rsidRPr="005C107C">
        <w:rPr>
          <w:rStyle w:val="a6"/>
          <w:rFonts w:ascii="Times New Roman" w:hAnsi="Times New Roman" w:cs="Times New Roman"/>
          <w:b w:val="0"/>
          <w:sz w:val="24"/>
          <w:szCs w:val="24"/>
        </w:rPr>
        <w:t>[</w:t>
      </w:r>
      <w:r w:rsidR="00C96C8B">
        <w:rPr>
          <w:rStyle w:val="a6"/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="00C96C8B" w:rsidRPr="00C96C8B">
        <w:rPr>
          <w:rStyle w:val="a6"/>
          <w:rFonts w:ascii="Times New Roman" w:hAnsi="Times New Roman" w:cs="Times New Roman"/>
          <w:b w:val="0"/>
          <w:sz w:val="24"/>
          <w:szCs w:val="24"/>
        </w:rPr>
        <w:t>1</w:t>
      </w:r>
      <w:r w:rsidR="00CB65D4" w:rsidRPr="005C107C">
        <w:rPr>
          <w:rStyle w:val="a6"/>
          <w:rFonts w:ascii="Times New Roman" w:hAnsi="Times New Roman" w:cs="Times New Roman"/>
          <w:b w:val="0"/>
          <w:sz w:val="24"/>
          <w:szCs w:val="24"/>
        </w:rPr>
        <w:t>].</w:t>
      </w:r>
      <w:r w:rsidR="005C10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107C" w:rsidRPr="005C107C">
        <w:rPr>
          <w:rFonts w:ascii="Times New Roman" w:hAnsi="Times New Roman" w:cs="Times New Roman"/>
          <w:sz w:val="24"/>
          <w:szCs w:val="24"/>
        </w:rPr>
        <w:t>Среди всех участников финансового рынка риск-менеджмент меньше всего распространен среди страховщиков (</w:t>
      </w:r>
      <w:r w:rsidR="00442A67">
        <w:rPr>
          <w:rFonts w:ascii="Times New Roman" w:hAnsi="Times New Roman" w:cs="Times New Roman"/>
          <w:sz w:val="24"/>
          <w:szCs w:val="24"/>
        </w:rPr>
        <w:t>по оценкам «Эксперт РА</w:t>
      </w:r>
      <w:r w:rsidR="005C107C">
        <w:rPr>
          <w:rFonts w:ascii="Times New Roman" w:hAnsi="Times New Roman" w:cs="Times New Roman"/>
          <w:sz w:val="24"/>
          <w:szCs w:val="24"/>
        </w:rPr>
        <w:t xml:space="preserve">», </w:t>
      </w:r>
      <w:r w:rsidR="005C107C" w:rsidRPr="005C107C">
        <w:rPr>
          <w:rFonts w:ascii="Times New Roman" w:hAnsi="Times New Roman" w:cs="Times New Roman"/>
          <w:sz w:val="24"/>
          <w:szCs w:val="24"/>
        </w:rPr>
        <w:t>лишь около у 25% активных участников страхового рынка) [</w:t>
      </w:r>
      <w:r w:rsidR="00C96C8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96C8B" w:rsidRPr="00C96C8B">
        <w:rPr>
          <w:rFonts w:ascii="Times New Roman" w:hAnsi="Times New Roman" w:cs="Times New Roman"/>
          <w:sz w:val="24"/>
          <w:szCs w:val="24"/>
        </w:rPr>
        <w:t>2</w:t>
      </w:r>
      <w:r w:rsidR="005C107C" w:rsidRPr="005C107C">
        <w:rPr>
          <w:rFonts w:ascii="Times New Roman" w:hAnsi="Times New Roman" w:cs="Times New Roman"/>
          <w:sz w:val="24"/>
          <w:szCs w:val="24"/>
        </w:rPr>
        <w:t>].</w:t>
      </w:r>
    </w:p>
    <w:p w:rsidR="00442A67" w:rsidRDefault="00442A67" w:rsidP="00442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A67" w:rsidRDefault="00442A67" w:rsidP="00442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ближайших двух лет </w:t>
      </w:r>
      <w:proofErr w:type="spellStart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мегарегулятор</w:t>
      </w:r>
      <w:proofErr w:type="spellEnd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усилить регулирование за финансовыми рынками. При этом необходимыми требованиями будут существование отдельного отдела по управлению рисками и наличие регламентов по управлению рисками. </w:t>
      </w:r>
    </w:p>
    <w:p w:rsidR="001A73C9" w:rsidRPr="005C107C" w:rsidRDefault="001A73C9" w:rsidP="002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7B3" w:rsidRPr="005C107C" w:rsidRDefault="005C107C" w:rsidP="0027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7C">
        <w:rPr>
          <w:rFonts w:ascii="Times New Roman" w:hAnsi="Times New Roman" w:cs="Times New Roman"/>
          <w:sz w:val="24"/>
          <w:szCs w:val="24"/>
        </w:rPr>
        <w:t xml:space="preserve">Таким образом, создание </w:t>
      </w:r>
      <w:proofErr w:type="spellStart"/>
      <w:r w:rsidRPr="005C107C">
        <w:rPr>
          <w:rFonts w:ascii="Times New Roman" w:hAnsi="Times New Roman" w:cs="Times New Roman"/>
          <w:sz w:val="24"/>
          <w:szCs w:val="24"/>
        </w:rPr>
        <w:t>мегарегулятора</w:t>
      </w:r>
      <w:proofErr w:type="spellEnd"/>
      <w:r w:rsidRPr="005C107C">
        <w:rPr>
          <w:rFonts w:ascii="Times New Roman" w:hAnsi="Times New Roman" w:cs="Times New Roman"/>
          <w:sz w:val="24"/>
          <w:szCs w:val="24"/>
        </w:rPr>
        <w:t xml:space="preserve"> ста</w:t>
      </w:r>
      <w:r w:rsidR="00442A67">
        <w:rPr>
          <w:rFonts w:ascii="Times New Roman" w:hAnsi="Times New Roman" w:cs="Times New Roman"/>
          <w:sz w:val="24"/>
          <w:szCs w:val="24"/>
        </w:rPr>
        <w:t>новится</w:t>
      </w:r>
      <w:r w:rsidRPr="005C107C">
        <w:rPr>
          <w:rFonts w:ascii="Times New Roman" w:hAnsi="Times New Roman" w:cs="Times New Roman"/>
          <w:sz w:val="24"/>
          <w:szCs w:val="24"/>
        </w:rPr>
        <w:t xml:space="preserve"> драйвером внедрения и развития </w:t>
      </w:r>
      <w:proofErr w:type="gramStart"/>
      <w:r w:rsidRPr="005C107C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gramEnd"/>
      <w:r w:rsidRPr="005C107C">
        <w:rPr>
          <w:rFonts w:ascii="Times New Roman" w:hAnsi="Times New Roman" w:cs="Times New Roman"/>
          <w:sz w:val="24"/>
          <w:szCs w:val="24"/>
        </w:rPr>
        <w:t xml:space="preserve"> у всех участников страхового рынка</w:t>
      </w:r>
      <w:r w:rsidR="00442A67">
        <w:rPr>
          <w:rFonts w:ascii="Times New Roman" w:hAnsi="Times New Roman" w:cs="Times New Roman"/>
          <w:sz w:val="24"/>
          <w:szCs w:val="24"/>
        </w:rPr>
        <w:t>, в том числе и у страховых компаний</w:t>
      </w:r>
      <w:r w:rsidRPr="005C10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442A67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E77B3" w:rsidRPr="005C107C">
        <w:rPr>
          <w:rFonts w:ascii="Times New Roman" w:hAnsi="Times New Roman" w:cs="Times New Roman"/>
          <w:sz w:val="24"/>
          <w:szCs w:val="24"/>
        </w:rPr>
        <w:t>ступившие 21.01.2014 изменения в ФЗ «Об организации страхового дела» обязывают страховщиков создавать внутренний контроль и аудит</w:t>
      </w:r>
      <w:r w:rsidR="00442A67">
        <w:rPr>
          <w:rFonts w:ascii="Times New Roman" w:hAnsi="Times New Roman" w:cs="Times New Roman"/>
          <w:sz w:val="24"/>
          <w:szCs w:val="24"/>
        </w:rPr>
        <w:t>, что будет должным образом контролироваться</w:t>
      </w:r>
      <w:r w:rsidR="002E77B3" w:rsidRPr="005C107C">
        <w:rPr>
          <w:rFonts w:ascii="Times New Roman" w:hAnsi="Times New Roman" w:cs="Times New Roman"/>
          <w:sz w:val="24"/>
          <w:szCs w:val="24"/>
        </w:rPr>
        <w:t xml:space="preserve"> [</w:t>
      </w:r>
      <w:r w:rsidR="00C96C8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96C8B" w:rsidRPr="00C96C8B">
        <w:rPr>
          <w:rFonts w:ascii="Times New Roman" w:hAnsi="Times New Roman" w:cs="Times New Roman"/>
          <w:sz w:val="24"/>
          <w:szCs w:val="24"/>
        </w:rPr>
        <w:t>6</w:t>
      </w:r>
      <w:r w:rsidR="002E77B3" w:rsidRPr="005C107C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582DCC" w:rsidRPr="005C107C" w:rsidRDefault="00582DCC" w:rsidP="002731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7008" w:rsidRPr="005C107C" w:rsidRDefault="00447008" w:rsidP="00447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Подобным образом ситуация развивается и в Европе, где главным драйвером изменений в </w:t>
      </w:r>
      <w:proofErr w:type="gramStart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риск-менеджменте</w:t>
      </w:r>
      <w:proofErr w:type="gramEnd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страховых компаний стало внедрение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Solvency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Главной целью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Solvency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установление надзорных рамок, основанных на управлении рисками для страховых компаний по всем странам ЕС. Требования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Solvency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основаны на подходе «Трех столпов» (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Pillar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3), в соответствии с которым 1й столп – это количественные требования (измерение активов, обязательств и капитала), 2й столп – качественные требования (принципы внутреннего контроля и управления рисками, процесс надзора), а 3й столп – рыночная дисциплина (прозрачность, раскрытие информации)</w:t>
      </w:r>
      <w:r w:rsidR="008E0148" w:rsidRPr="008E0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C96C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C96C8B" w:rsidRPr="00C96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E0148" w:rsidRPr="008E0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47008" w:rsidRPr="005C107C" w:rsidRDefault="00447008" w:rsidP="00273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1DD" w:rsidRPr="005C107C" w:rsidRDefault="006A6221" w:rsidP="00273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отметить</w:t>
      </w:r>
      <w:r w:rsidR="00447008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проведения оценки эффективности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</w:t>
      </w:r>
      <w:r w:rsidR="00447008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Так, в Статье 44 (1) Директивы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Solvency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акцент сделан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том, что «системы </w:t>
      </w:r>
      <w:proofErr w:type="gramStart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риск-менеджмента</w:t>
      </w:r>
      <w:proofErr w:type="gramEnd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эффективны и должным образом интегрированы </w:t>
      </w:r>
      <w:r w:rsid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организационную структуру и процесс принятия решений…»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r w:rsidR="00C96C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1A0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].</w:t>
      </w:r>
    </w:p>
    <w:p w:rsidR="00460392" w:rsidRPr="005C107C" w:rsidRDefault="00460392" w:rsidP="00273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94F3B" w:rsidRPr="005C107C" w:rsidRDefault="00D94F3B" w:rsidP="00273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управления рисками во многом зависит от выбранной модели </w:t>
      </w:r>
      <w:proofErr w:type="gramStart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риск-менеджмента</w:t>
      </w:r>
      <w:proofErr w:type="gramEnd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B7D32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исследованием </w:t>
      </w:r>
      <w:r w:rsidR="000B7D32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Ernst</w:t>
      </w:r>
      <w:r w:rsidR="000B7D32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&amp;</w:t>
      </w:r>
      <w:r w:rsidR="000B7D32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Young</w:t>
      </w:r>
      <w:r w:rsidR="000B7D32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существует 2 типа подходов для измерения эффективности </w:t>
      </w:r>
      <w:proofErr w:type="gramStart"/>
      <w:r w:rsidR="000B7D32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риск-менеджмента</w:t>
      </w:r>
      <w:proofErr w:type="gramEnd"/>
      <w:r w:rsidR="000B7D32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первый более субъективный и гибкий, а второй базируется на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четких </w:t>
      </w:r>
      <w:r w:rsidR="000B7D32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 правилах</w:t>
      </w:r>
      <w:r w:rsid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более объективным</w:t>
      </w:r>
      <w:r w:rsidR="000B7D32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того, возможно использование т.н. «гибридных» подходов, пользуясь преимуществами двух основных подходов [</w:t>
      </w:r>
      <w:r w:rsidR="00C96C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C96C8B" w:rsidRPr="00C96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4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  <w:r w:rsid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исследовании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Lloyd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`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рассмотрены 2 различные модели управления рисками (</w:t>
      </w:r>
      <w:proofErr w:type="gramStart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иерархическая</w:t>
      </w:r>
      <w:proofErr w:type="gramEnd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принципу трех линий защиты) [</w:t>
      </w:r>
      <w:r w:rsidR="00C96C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C96C8B" w:rsidRPr="00C96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A7F49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4F3B" w:rsidRPr="008A7F49" w:rsidRDefault="00D94F3B" w:rsidP="00D94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наблюдениям международного рейтингового агентства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Best</w:t>
      </w:r>
      <w:r w:rsid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4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рисками в страховой компании затрагивает настолько много аспектов (различные модели оценки активов, сложный 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 катастроф</w:t>
      </w:r>
      <w:r w:rsidR="008A7F49"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ическими событиями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программы хеджирования), что </w:t>
      </w:r>
      <w:r w:rsidR="008A7F49"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переросло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в управление рисками предприятия (</w:t>
      </w:r>
      <w:proofErr w:type="spellStart"/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Enterprise</w:t>
      </w:r>
      <w:proofErr w:type="spellEnd"/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Risk</w:t>
      </w:r>
      <w:proofErr w:type="spellEnd"/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Management</w:t>
      </w:r>
      <w:proofErr w:type="spellEnd"/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[</w:t>
      </w:r>
      <w:r w:rsidR="00C96C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C96C8B" w:rsidRPr="00C96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  <w:proofErr w:type="gramEnd"/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получается более структурированная и объемная модель, позволяющая увеличить рыночную стоимость компании, хотя изначально целью ставилось </w:t>
      </w:r>
      <w:r w:rsidR="008A7F49"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лишь 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финансовой </w:t>
      </w:r>
      <w:r w:rsid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устойчивости 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надежности </w:t>
      </w:r>
      <w:r w:rsid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страховой 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компании.</w:t>
      </w:r>
    </w:p>
    <w:p w:rsidR="00D94F3B" w:rsidRPr="00B25565" w:rsidRDefault="00D94F3B" w:rsidP="00D94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в компании ERM должно затрагивать три ключевые области: культуру (установление т.н. «корпоративной ДНК», то есть такой среды в компании, где </w:t>
      </w:r>
      <w:r w:rsidRP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осведомленность об уровне принимаемых рисков и их точный расчет </w:t>
      </w:r>
      <w:r w:rsid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присутствуют </w:t>
      </w:r>
      <w:r w:rsidRP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каждодневных операциях), идентификаци</w:t>
      </w:r>
      <w:r w:rsid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и управление, а также </w:t>
      </w:r>
      <w:r w:rsidRP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измерение </w:t>
      </w:r>
      <w:r w:rsid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рисков </w:t>
      </w:r>
      <w:r w:rsidRP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C96C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C96C8B" w:rsidRPr="00C96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D94F3B" w:rsidRPr="005C107C" w:rsidRDefault="00D94F3B" w:rsidP="00273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FA5" w:rsidRPr="005C107C" w:rsidRDefault="001A048C" w:rsidP="00273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данной статьи</w:t>
      </w:r>
      <w:r w:rsid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проанализировать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распространенные модели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риск-менеджмента</w:t>
      </w:r>
      <w:proofErr w:type="gramEnd"/>
      <w:r w:rsid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выявить факторы</w:t>
      </w:r>
      <w:r w:rsidR="00617FA5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</w:t>
      </w:r>
      <w:r w:rsidR="00B25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которых </w:t>
      </w:r>
      <w:r w:rsidR="00617FA5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эффективность внедренной системы риск-менеджмента.</w:t>
      </w:r>
    </w:p>
    <w:p w:rsidR="00617FA5" w:rsidRPr="005C107C" w:rsidRDefault="00617FA5" w:rsidP="00273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EE1" w:rsidRPr="005C107C" w:rsidRDefault="00530EE1" w:rsidP="00530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*** </w:t>
      </w:r>
    </w:p>
    <w:p w:rsidR="0096568D" w:rsidRPr="005C107C" w:rsidRDefault="00530EE1" w:rsidP="001A0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Проведенное исследование показало, что </w:t>
      </w:r>
      <w:r w:rsidR="001A0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система</w:t>
      </w:r>
      <w:r w:rsidR="0096568D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6568D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риск-менеджмента</w:t>
      </w:r>
      <w:proofErr w:type="gramEnd"/>
      <w:r w:rsidR="0096568D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</w:t>
      </w:r>
      <w:r w:rsidR="001A0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6568D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привести </w:t>
      </w:r>
      <w:r w:rsidR="003B0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более грамотному </w:t>
      </w:r>
      <w:r w:rsidR="003B0AC7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</w:t>
      </w:r>
      <w:r w:rsidR="003B0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решений, </w:t>
      </w:r>
      <w:r w:rsidR="001A0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быстрому </w:t>
      </w:r>
      <w:r w:rsidR="0096568D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</w:t>
      </w:r>
      <w:r w:rsidR="001A0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96568D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бизнеса</w:t>
      </w:r>
      <w:r w:rsidR="001A0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D71469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96568D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учш</w:t>
      </w:r>
      <w:r w:rsidR="001A0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96568D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подготовленност</w:t>
      </w:r>
      <w:r w:rsidR="001A0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B0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компании </w:t>
      </w:r>
      <w:r w:rsidR="0096568D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будущим неопределенностям. </w:t>
      </w:r>
    </w:p>
    <w:p w:rsidR="009B43AD" w:rsidRPr="005C107C" w:rsidRDefault="009B43AD" w:rsidP="00530EE1">
      <w:pPr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3AD" w:rsidRPr="005C107C" w:rsidRDefault="009B43AD" w:rsidP="00530EE1">
      <w:pPr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EE1" w:rsidRPr="005C107C" w:rsidRDefault="00530EE1" w:rsidP="00530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73C9" w:rsidRPr="005C107C" w:rsidRDefault="001A73C9" w:rsidP="0062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</w:t>
      </w:r>
      <w:r w:rsid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07C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Стандартизация </w:t>
      </w:r>
      <w:proofErr w:type="gramStart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риск-менеджмента</w:t>
      </w:r>
      <w:proofErr w:type="gramEnd"/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средств от «серых пятен»</w:t>
      </w:r>
      <w:r w:rsid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07C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«Эксперт РА»,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 год</w:t>
      </w:r>
      <w:r w:rsidR="00622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96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2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96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16.</w:t>
      </w:r>
    </w:p>
    <w:p w:rsidR="005C107C" w:rsidRPr="006226FD" w:rsidRDefault="00D26396" w:rsidP="0062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</w:t>
      </w:r>
      <w:r w:rsidR="005C107C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Инвестиции в риск-м</w:t>
      </w:r>
      <w:r w:rsid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енеджмент: придется потратиться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07C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«Эксперт РА»,</w:t>
      </w:r>
      <w:r w:rsidR="005C107C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 год</w:t>
      </w:r>
      <w:r w:rsidR="00C96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2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6226FD" w:rsidRPr="006226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C96C8B" w:rsidRPr="006226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3.</w:t>
      </w:r>
    </w:p>
    <w:p w:rsidR="000B7D32" w:rsidRPr="008A7F49" w:rsidRDefault="000B7D32" w:rsidP="0062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Measuring up: effective risk ma</w:t>
      </w:r>
      <w:r w:rsidR="008A7F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nagement in insurance companies</w:t>
      </w:r>
      <w:r w:rsidR="008A7F49"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 </w:t>
      </w:r>
      <w:proofErr w:type="spellStart"/>
      <w:r w:rsidR="008A7F49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Ernst</w:t>
      </w:r>
      <w:r w:rsidR="008A7F49"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&amp;</w:t>
      </w:r>
      <w:r w:rsidR="008A7F49"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Young</w:t>
      </w:r>
      <w:proofErr w:type="spellEnd"/>
      <w:r w:rsidR="008A7F49"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2011.</w:t>
      </w:r>
    </w:p>
    <w:p w:rsidR="008A7F49" w:rsidRPr="008A7F49" w:rsidRDefault="008A7F49" w:rsidP="0062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Solvency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detailed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guidance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notes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 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Lloyd</w:t>
      </w:r>
      <w:r w:rsidRPr="008A7F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`</w:t>
      </w: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C96C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2010</w:t>
      </w:r>
      <w:r w:rsidR="00C96C8B" w:rsidRPr="00C96C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8A7F49" w:rsidRPr="008A7F49" w:rsidRDefault="008A7F49" w:rsidP="0062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7F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Risk Management and the Rating Process for Insurance Companies // </w:t>
      </w:r>
      <w:proofErr w:type="spellStart"/>
      <w:r w:rsidRPr="008A7F49">
        <w:rPr>
          <w:rFonts w:ascii="Times New Roman" w:hAnsi="Times New Roman" w:cs="Times New Roman"/>
          <w:bCs/>
          <w:sz w:val="24"/>
          <w:szCs w:val="24"/>
          <w:lang w:val="en-US"/>
        </w:rPr>
        <w:t>A.M.Best</w:t>
      </w:r>
      <w:proofErr w:type="spellEnd"/>
      <w:r w:rsidRPr="008A7F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Methodology, 2013.</w:t>
      </w:r>
    </w:p>
    <w:p w:rsidR="005C107C" w:rsidRPr="00E47D9F" w:rsidRDefault="005C107C" w:rsidP="0062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7C">
        <w:rPr>
          <w:rFonts w:ascii="Times New Roman" w:hAnsi="Times New Roman" w:cs="Times New Roman"/>
          <w:sz w:val="24"/>
          <w:szCs w:val="24"/>
        </w:rPr>
        <w:t xml:space="preserve">ФЗ «Об организации страхового дела в РФ», </w:t>
      </w:r>
      <w:r>
        <w:rPr>
          <w:rFonts w:ascii="Times New Roman" w:hAnsi="Times New Roman" w:cs="Times New Roman"/>
          <w:sz w:val="24"/>
          <w:szCs w:val="24"/>
        </w:rPr>
        <w:t>п. 12 ст. 3.</w:t>
      </w:r>
    </w:p>
    <w:p w:rsidR="00E47D9F" w:rsidRPr="00E47D9F" w:rsidRDefault="008A7F49" w:rsidP="0062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C10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Directive 2009/138/EC of the European Parliament and of the Council (Solvency II), 25 November 2009</w:t>
      </w:r>
      <w:r w:rsidRPr="00E47D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E47D9F" w:rsidRPr="00E47D9F" w:rsidRDefault="00E47D9F" w:rsidP="00E47D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26396" w:rsidRPr="00E47D9F" w:rsidRDefault="00D26396" w:rsidP="000B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B7D32" w:rsidRPr="00E47D9F" w:rsidRDefault="000B7D32" w:rsidP="000B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0B7D32" w:rsidRPr="00E4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51B3"/>
    <w:multiLevelType w:val="multilevel"/>
    <w:tmpl w:val="FC90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D1630"/>
    <w:multiLevelType w:val="hybridMultilevel"/>
    <w:tmpl w:val="D0446DF2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DE"/>
    <w:rsid w:val="000B7D32"/>
    <w:rsid w:val="000E1DDE"/>
    <w:rsid w:val="001442E5"/>
    <w:rsid w:val="001569F0"/>
    <w:rsid w:val="001A048C"/>
    <w:rsid w:val="001A73C9"/>
    <w:rsid w:val="00273108"/>
    <w:rsid w:val="002E77B3"/>
    <w:rsid w:val="00304B89"/>
    <w:rsid w:val="0037561E"/>
    <w:rsid w:val="003B0AC7"/>
    <w:rsid w:val="00442A67"/>
    <w:rsid w:val="00447008"/>
    <w:rsid w:val="00460392"/>
    <w:rsid w:val="00471983"/>
    <w:rsid w:val="00482D39"/>
    <w:rsid w:val="004D47CB"/>
    <w:rsid w:val="00530EE1"/>
    <w:rsid w:val="00552D43"/>
    <w:rsid w:val="00567781"/>
    <w:rsid w:val="00582DCC"/>
    <w:rsid w:val="005C107C"/>
    <w:rsid w:val="00617FA5"/>
    <w:rsid w:val="006226FD"/>
    <w:rsid w:val="00685F0B"/>
    <w:rsid w:val="006A6221"/>
    <w:rsid w:val="006D1427"/>
    <w:rsid w:val="007F325D"/>
    <w:rsid w:val="008A7F49"/>
    <w:rsid w:val="008E0148"/>
    <w:rsid w:val="0096568D"/>
    <w:rsid w:val="00987B3D"/>
    <w:rsid w:val="009B43AD"/>
    <w:rsid w:val="00B25565"/>
    <w:rsid w:val="00C95CE8"/>
    <w:rsid w:val="00C96C8B"/>
    <w:rsid w:val="00CB65D4"/>
    <w:rsid w:val="00D26396"/>
    <w:rsid w:val="00D71469"/>
    <w:rsid w:val="00D94F3B"/>
    <w:rsid w:val="00D9600C"/>
    <w:rsid w:val="00DA140D"/>
    <w:rsid w:val="00DE71B0"/>
    <w:rsid w:val="00E47D9F"/>
    <w:rsid w:val="00F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0EE1"/>
    <w:rPr>
      <w:i/>
      <w:iCs/>
    </w:rPr>
  </w:style>
  <w:style w:type="character" w:styleId="a4">
    <w:name w:val="Hyperlink"/>
    <w:basedOn w:val="a0"/>
    <w:uiPriority w:val="99"/>
    <w:unhideWhenUsed/>
    <w:rsid w:val="009B43A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6568D"/>
    <w:pPr>
      <w:ind w:left="720"/>
      <w:contextualSpacing/>
    </w:pPr>
  </w:style>
  <w:style w:type="character" w:styleId="a6">
    <w:name w:val="Strong"/>
    <w:basedOn w:val="a0"/>
    <w:uiPriority w:val="22"/>
    <w:qFormat/>
    <w:rsid w:val="001A73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0EE1"/>
    <w:rPr>
      <w:i/>
      <w:iCs/>
    </w:rPr>
  </w:style>
  <w:style w:type="character" w:styleId="a4">
    <w:name w:val="Hyperlink"/>
    <w:basedOn w:val="a0"/>
    <w:uiPriority w:val="99"/>
    <w:unhideWhenUsed/>
    <w:rsid w:val="009B43A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6568D"/>
    <w:pPr>
      <w:ind w:left="720"/>
      <w:contextualSpacing/>
    </w:pPr>
  </w:style>
  <w:style w:type="character" w:styleId="a6">
    <w:name w:val="Strong"/>
    <w:basedOn w:val="a0"/>
    <w:uiPriority w:val="22"/>
    <w:qFormat/>
    <w:rsid w:val="001A7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Полуденко Татьяна</cp:lastModifiedBy>
  <cp:revision>27</cp:revision>
  <dcterms:created xsi:type="dcterms:W3CDTF">2014-02-21T03:24:00Z</dcterms:created>
  <dcterms:modified xsi:type="dcterms:W3CDTF">2014-02-25T10:21:00Z</dcterms:modified>
</cp:coreProperties>
</file>