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97" w:rsidRPr="00C21E2B" w:rsidRDefault="009B5897" w:rsidP="00344963">
      <w:pPr>
        <w:ind w:firstLine="709"/>
        <w:jc w:val="center"/>
        <w:rPr>
          <w:b/>
        </w:rPr>
      </w:pPr>
      <w:r w:rsidRPr="00C21E2B">
        <w:rPr>
          <w:b/>
        </w:rPr>
        <w:t>Интерпретация конструкций с личным субъектом в русских переводах романа Б. Стокера «Дракула»</w:t>
      </w:r>
    </w:p>
    <w:p w:rsidR="009B5897" w:rsidRDefault="009B5897" w:rsidP="00344963">
      <w:pPr>
        <w:ind w:firstLine="709"/>
        <w:jc w:val="center"/>
      </w:pPr>
      <w:r>
        <w:t>Брюнцова Кристина Сергеевна</w:t>
      </w:r>
      <w:r>
        <w:br/>
        <w:t>Студентка Московского государственного университета им. М.В. Ломоносова, Москва, Россия</w:t>
      </w:r>
    </w:p>
    <w:p w:rsidR="009B5897" w:rsidRDefault="009B5897" w:rsidP="00344963">
      <w:pPr>
        <w:ind w:firstLine="709"/>
        <w:jc w:val="both"/>
      </w:pPr>
    </w:p>
    <w:p w:rsidR="009B5897" w:rsidRDefault="009B5897" w:rsidP="00344963">
      <w:pPr>
        <w:ind w:firstLine="709"/>
        <w:jc w:val="both"/>
      </w:pPr>
      <w:r w:rsidRPr="0019043E">
        <w:t xml:space="preserve">Творчество </w:t>
      </w:r>
      <w:r w:rsidRPr="0019043E">
        <w:rPr>
          <w:b/>
        </w:rPr>
        <w:t>Брэма Стокера</w:t>
      </w:r>
      <w:r w:rsidRPr="0019043E">
        <w:t xml:space="preserve"> - ирландского романиста </w:t>
      </w:r>
      <w:r w:rsidRPr="0019043E">
        <w:rPr>
          <w:lang w:val="en-US"/>
        </w:rPr>
        <w:t>XIX</w:t>
      </w:r>
      <w:r w:rsidRPr="0019043E">
        <w:t xml:space="preserve"> века и автора всемирно известного готического романа о графе Дракуле - в России изучено слабо и далеко не всесторонне. </w:t>
      </w:r>
      <w:r w:rsidRPr="006619FD">
        <w:t xml:space="preserve">Однако история о знаменитом вампире, будоражащая воображение читателя, заставляющая его сопереживать героям и напряженно следить за развитием событий, никого не может оставить равнодушным. </w:t>
      </w:r>
    </w:p>
    <w:p w:rsidR="009B5897" w:rsidRDefault="009B5897" w:rsidP="00344963">
      <w:pPr>
        <w:ind w:firstLine="709"/>
        <w:jc w:val="both"/>
      </w:pPr>
      <w:r>
        <w:t>В</w:t>
      </w:r>
      <w:r w:rsidRPr="0019043E">
        <w:t xml:space="preserve"> нашей работе мы анализируем сразу три перевода этого произведения на русский язык, выводя на первое место синтаксический аспект. Выбранный метод опирается на новейшие достижения в области коммуникативной грамматики и функционального синтаксиса, учитываются данные работ по типологии языков и труды мастеров перевода. </w:t>
      </w:r>
      <w:r w:rsidRPr="0019043E">
        <w:rPr>
          <w:color w:val="000000"/>
        </w:rPr>
        <w:t xml:space="preserve">Сопоставление вариантов перевода – продуктивный способ выявления особенностей русских неопределенно-личных и безличных конструкций на фоне другого языка, и при этом в конкретных текстовых условиях. </w:t>
      </w:r>
      <w:r w:rsidRPr="0019043E">
        <w:t xml:space="preserve"> </w:t>
      </w:r>
    </w:p>
    <w:p w:rsidR="009B5897" w:rsidRPr="00BD53A3" w:rsidRDefault="009B5897" w:rsidP="00344963">
      <w:pPr>
        <w:ind w:firstLine="709"/>
        <w:jc w:val="both"/>
        <w:rPr>
          <w:b/>
          <w:bCs/>
          <w:color w:val="FF0000"/>
        </w:rPr>
      </w:pPr>
      <w:r>
        <w:t>В работе</w:t>
      </w:r>
      <w:r w:rsidRPr="00BD53A3">
        <w:t xml:space="preserve"> мы будем опираться на разработанные в современной науке понятия </w:t>
      </w:r>
      <w:r>
        <w:t>«</w:t>
      </w:r>
      <w:r w:rsidRPr="00BD53A3">
        <w:t>модели и модификации предложения</w:t>
      </w:r>
      <w:r>
        <w:t>»</w:t>
      </w:r>
      <w:r w:rsidRPr="00BD53A3">
        <w:t xml:space="preserve"> </w:t>
      </w:r>
      <w:r>
        <w:t>[Золотова: 1998]</w:t>
      </w:r>
      <w:r w:rsidRPr="00BD53A3">
        <w:t>, «нулевого местоимения» [</w:t>
      </w:r>
      <w:r>
        <w:t>Булыгина: 1997</w:t>
      </w:r>
      <w:r w:rsidRPr="00BD53A3">
        <w:t>],</w:t>
      </w:r>
      <w:r w:rsidRPr="00BD53A3">
        <w:rPr>
          <w:b/>
          <w:bCs/>
        </w:rPr>
        <w:t xml:space="preserve"> </w:t>
      </w:r>
      <w:r w:rsidRPr="00BD53A3">
        <w:rPr>
          <w:bCs/>
        </w:rPr>
        <w:t>на данные сопоставительных исследований русского и английского языков, а также на материалы работ о художественном переводе.</w:t>
      </w:r>
      <w:r w:rsidRPr="00BD53A3">
        <w:rPr>
          <w:b/>
          <w:bCs/>
        </w:rPr>
        <w:t xml:space="preserve"> </w:t>
      </w:r>
      <w:r w:rsidRPr="00BD53A3">
        <w:rPr>
          <w:bCs/>
        </w:rPr>
        <w:t>Методика сопоставительного семантико-синтаксического анализа вариантов перевода текста, использованная в данной работе, разработана А. В. Уржой</w:t>
      </w:r>
      <w:r>
        <w:rPr>
          <w:bCs/>
        </w:rPr>
        <w:t xml:space="preserve">. </w:t>
      </w:r>
      <w:r w:rsidRPr="00F52F56">
        <w:rPr>
          <w:bCs/>
        </w:rPr>
        <w:t>[</w:t>
      </w:r>
      <w:r>
        <w:rPr>
          <w:bCs/>
        </w:rPr>
        <w:t>Уржа: 2009</w:t>
      </w:r>
      <w:r w:rsidRPr="00F52F56">
        <w:rPr>
          <w:bCs/>
        </w:rPr>
        <w:t>]</w:t>
      </w:r>
      <w:r>
        <w:rPr>
          <w:bCs/>
        </w:rPr>
        <w:t>.</w:t>
      </w:r>
    </w:p>
    <w:p w:rsidR="009B5897" w:rsidRPr="0019043E" w:rsidRDefault="009B5897" w:rsidP="00344963">
      <w:pPr>
        <w:ind w:firstLine="709"/>
        <w:jc w:val="both"/>
      </w:pPr>
      <w:r w:rsidRPr="00C21E2B">
        <w:t>В ходе исследования было выявлено, что предложения с неопределенным субъектом (неопределенно-личные, пассивные конструкции, предложения с неопределенным местоимением в позиции субъекта)</w:t>
      </w:r>
      <w:r>
        <w:t xml:space="preserve"> используются переводчиками для:</w:t>
      </w:r>
    </w:p>
    <w:p w:rsidR="009B5897" w:rsidRPr="0019043E" w:rsidRDefault="009B5897" w:rsidP="00344963">
      <w:pPr>
        <w:pStyle w:val="ListParagraph"/>
        <w:numPr>
          <w:ilvl w:val="0"/>
          <w:numId w:val="2"/>
        </w:numPr>
        <w:ind w:firstLine="709"/>
        <w:jc w:val="both"/>
      </w:pPr>
      <w:r w:rsidRPr="0019043E">
        <w:t>нагнетания в тексте интриги (ср. «...</w:t>
      </w:r>
      <w:r w:rsidRPr="0019043E">
        <w:rPr>
          <w:lang w:val="en-US"/>
        </w:rPr>
        <w:t>when</w:t>
      </w:r>
      <w:r w:rsidRPr="0019043E">
        <w:t xml:space="preserve"> </w:t>
      </w:r>
      <w:r w:rsidRPr="0019043E">
        <w:rPr>
          <w:lang w:val="en-US"/>
        </w:rPr>
        <w:t>I</w:t>
      </w:r>
      <w:r w:rsidRPr="0019043E">
        <w:t xml:space="preserve"> </w:t>
      </w:r>
      <w:r w:rsidRPr="0019043E">
        <w:rPr>
          <w:lang w:val="en-US"/>
        </w:rPr>
        <w:t>saw</w:t>
      </w:r>
      <w:r w:rsidRPr="0019043E">
        <w:t xml:space="preserve"> </w:t>
      </w:r>
      <w:r w:rsidRPr="0019043E">
        <w:rPr>
          <w:i/>
          <w:iCs/>
          <w:lang w:val="en-US"/>
        </w:rPr>
        <w:t>something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coming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out</w:t>
      </w:r>
      <w:r w:rsidRPr="0019043E">
        <w:rPr>
          <w:i/>
          <w:iCs/>
        </w:rPr>
        <w:t xml:space="preserve"> </w:t>
      </w:r>
      <w:r w:rsidRPr="0019043E">
        <w:rPr>
          <w:lang w:val="en-US"/>
        </w:rPr>
        <w:t>of</w:t>
      </w:r>
      <w:r w:rsidRPr="0019043E">
        <w:t xml:space="preserve"> </w:t>
      </w:r>
      <w:r w:rsidRPr="0019043E">
        <w:rPr>
          <w:lang w:val="en-US"/>
        </w:rPr>
        <w:t>the</w:t>
      </w:r>
      <w:r w:rsidRPr="0019043E">
        <w:t xml:space="preserve"> </w:t>
      </w:r>
      <w:r w:rsidRPr="0019043E">
        <w:rPr>
          <w:lang w:val="en-US"/>
        </w:rPr>
        <w:t>Count</w:t>
      </w:r>
      <w:r w:rsidRPr="0019043E">
        <w:t>'</w:t>
      </w:r>
      <w:r w:rsidRPr="0019043E">
        <w:rPr>
          <w:lang w:val="en-US"/>
        </w:rPr>
        <w:t>s</w:t>
      </w:r>
      <w:r w:rsidRPr="0019043E">
        <w:t xml:space="preserve"> </w:t>
      </w:r>
      <w:r w:rsidRPr="0019043E">
        <w:rPr>
          <w:i/>
          <w:iCs/>
          <w:lang w:val="en-US"/>
        </w:rPr>
        <w:t>window</w:t>
      </w:r>
      <w:r w:rsidRPr="0019043E">
        <w:t xml:space="preserve">» - «...прежде чем в окне комнаты Дракулы </w:t>
      </w:r>
      <w:r w:rsidRPr="0019043E">
        <w:rPr>
          <w:i/>
          <w:iCs/>
        </w:rPr>
        <w:t>что-то шевельнулось</w:t>
      </w:r>
      <w:r w:rsidRPr="0019043E">
        <w:t xml:space="preserve">» (Н. Сандрова) - «...я заметил </w:t>
      </w:r>
      <w:r w:rsidRPr="0019043E">
        <w:rPr>
          <w:i/>
          <w:iCs/>
        </w:rPr>
        <w:t>какое-то</w:t>
      </w:r>
      <w:r w:rsidRPr="0019043E">
        <w:t xml:space="preserve"> </w:t>
      </w:r>
      <w:r w:rsidRPr="0019043E">
        <w:rPr>
          <w:i/>
          <w:iCs/>
        </w:rPr>
        <w:t>движение</w:t>
      </w:r>
      <w:r w:rsidRPr="0019043E">
        <w:t xml:space="preserve"> в окне графа» (Т. Красавченко) - «...я увидел, как </w:t>
      </w:r>
      <w:r w:rsidRPr="0019043E">
        <w:rPr>
          <w:i/>
          <w:iCs/>
        </w:rPr>
        <w:t xml:space="preserve">что-то выползло </w:t>
      </w:r>
      <w:r w:rsidRPr="0019043E">
        <w:t>из окна комнаты графа» (Д. Лаврентюк)</w:t>
      </w:r>
      <w:r>
        <w:t>)</w:t>
      </w:r>
      <w:r w:rsidRPr="0019043E">
        <w:t xml:space="preserve">, </w:t>
      </w:r>
    </w:p>
    <w:p w:rsidR="009B5897" w:rsidRPr="0019043E" w:rsidRDefault="009B5897" w:rsidP="00344963">
      <w:pPr>
        <w:pStyle w:val="ListParagraph"/>
        <w:numPr>
          <w:ilvl w:val="0"/>
          <w:numId w:val="2"/>
        </w:numPr>
        <w:ind w:firstLine="709"/>
        <w:jc w:val="both"/>
      </w:pPr>
      <w:r w:rsidRPr="0019043E">
        <w:t>объяснения внешних или внутренних причин поступка героя (ср. «</w:t>
      </w:r>
      <w:r w:rsidRPr="0019043E">
        <w:rPr>
          <w:i/>
          <w:iCs/>
          <w:color w:val="000000"/>
          <w:lang w:val="en-US"/>
        </w:rPr>
        <w:t>I</w:t>
      </w:r>
      <w:r w:rsidRPr="0019043E">
        <w:rPr>
          <w:i/>
          <w:iCs/>
          <w:color w:val="000000"/>
        </w:rPr>
        <w:t xml:space="preserve"> </w:t>
      </w:r>
      <w:r w:rsidRPr="0019043E">
        <w:rPr>
          <w:i/>
          <w:iCs/>
          <w:color w:val="000000"/>
          <w:lang w:val="en-US"/>
        </w:rPr>
        <w:t>could</w:t>
      </w:r>
      <w:r w:rsidRPr="0019043E">
        <w:rPr>
          <w:i/>
          <w:iCs/>
          <w:color w:val="000000"/>
        </w:rPr>
        <w:t xml:space="preserve"> </w:t>
      </w:r>
      <w:r w:rsidRPr="0019043E">
        <w:rPr>
          <w:i/>
          <w:iCs/>
          <w:color w:val="000000"/>
          <w:lang w:val="en-US"/>
        </w:rPr>
        <w:t>allow</w:t>
      </w:r>
      <w:r w:rsidRPr="0019043E">
        <w:rPr>
          <w:i/>
          <w:iCs/>
          <w:color w:val="000000"/>
        </w:rPr>
        <w:t xml:space="preserve"> </w:t>
      </w:r>
      <w:r w:rsidRPr="0019043E">
        <w:rPr>
          <w:i/>
          <w:iCs/>
          <w:color w:val="000000"/>
          <w:lang w:val="en-US"/>
        </w:rPr>
        <w:t>nothing</w:t>
      </w:r>
      <w:r w:rsidRPr="0019043E">
        <w:rPr>
          <w:i/>
          <w:iCs/>
          <w:color w:val="000000"/>
        </w:rPr>
        <w:t xml:space="preserve"> </w:t>
      </w:r>
      <w:r w:rsidRPr="0019043E">
        <w:rPr>
          <w:i/>
          <w:iCs/>
          <w:color w:val="000000"/>
          <w:lang w:val="en-US"/>
        </w:rPr>
        <w:t>to</w:t>
      </w:r>
      <w:r w:rsidRPr="0019043E">
        <w:rPr>
          <w:i/>
          <w:iCs/>
          <w:color w:val="000000"/>
        </w:rPr>
        <w:t xml:space="preserve"> </w:t>
      </w:r>
      <w:r w:rsidRPr="0019043E">
        <w:rPr>
          <w:i/>
          <w:iCs/>
          <w:color w:val="000000"/>
          <w:lang w:val="en-US"/>
        </w:rPr>
        <w:t>interfere</w:t>
      </w:r>
      <w:r w:rsidRPr="0019043E">
        <w:rPr>
          <w:color w:val="000000"/>
        </w:rPr>
        <w:t xml:space="preserve"> </w:t>
      </w:r>
      <w:r w:rsidRPr="0019043E">
        <w:rPr>
          <w:color w:val="000000"/>
          <w:lang w:val="en-US"/>
        </w:rPr>
        <w:t>with</w:t>
      </w:r>
      <w:r w:rsidRPr="0019043E">
        <w:rPr>
          <w:color w:val="000000"/>
        </w:rPr>
        <w:t xml:space="preserve"> </w:t>
      </w:r>
      <w:r w:rsidRPr="0019043E">
        <w:rPr>
          <w:color w:val="000000"/>
          <w:lang w:val="en-US"/>
        </w:rPr>
        <w:t>it</w:t>
      </w:r>
      <w:r w:rsidRPr="0019043E">
        <w:rPr>
          <w:color w:val="000000"/>
        </w:rPr>
        <w:t xml:space="preserve">» - «…и </w:t>
      </w:r>
      <w:r w:rsidRPr="0019043E">
        <w:rPr>
          <w:i/>
          <w:iCs/>
          <w:color w:val="000000"/>
        </w:rPr>
        <w:t>отложить</w:t>
      </w:r>
      <w:r w:rsidRPr="0019043E">
        <w:rPr>
          <w:color w:val="000000"/>
        </w:rPr>
        <w:t xml:space="preserve"> его (дело) </w:t>
      </w:r>
      <w:r w:rsidRPr="0019043E">
        <w:rPr>
          <w:i/>
          <w:iCs/>
          <w:color w:val="000000"/>
        </w:rPr>
        <w:t>я не мог</w:t>
      </w:r>
      <w:r w:rsidRPr="0019043E">
        <w:rPr>
          <w:color w:val="000000"/>
        </w:rPr>
        <w:t>» (Н. Сандрова) - «...</w:t>
      </w:r>
      <w:r w:rsidRPr="0019043E">
        <w:rPr>
          <w:i/>
          <w:iCs/>
          <w:color w:val="000000"/>
        </w:rPr>
        <w:t>ничто не могло остановить меня</w:t>
      </w:r>
      <w:r w:rsidRPr="0019043E">
        <w:rPr>
          <w:color w:val="000000"/>
        </w:rPr>
        <w:t>» (Т. Красавченко)</w:t>
      </w:r>
      <w:r>
        <w:rPr>
          <w:color w:val="000000"/>
        </w:rPr>
        <w:t>),</w:t>
      </w:r>
      <w:r w:rsidRPr="0019043E">
        <w:rPr>
          <w:color w:val="000000"/>
        </w:rPr>
        <w:t xml:space="preserve"> </w:t>
      </w:r>
    </w:p>
    <w:p w:rsidR="009B5897" w:rsidRDefault="009B5897" w:rsidP="00344963">
      <w:pPr>
        <w:pStyle w:val="ListParagraph"/>
        <w:numPr>
          <w:ilvl w:val="0"/>
          <w:numId w:val="2"/>
        </w:numPr>
        <w:ind w:firstLine="709"/>
        <w:jc w:val="both"/>
      </w:pPr>
      <w:r w:rsidRPr="0019043E">
        <w:t>снятия ответственности за какие-либо категоричные суждения с говорящего (ср. «...</w:t>
      </w:r>
      <w:r w:rsidRPr="0019043E">
        <w:rPr>
          <w:i/>
          <w:iCs/>
          <w:lang w:val="en-US"/>
        </w:rPr>
        <w:t>they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said</w:t>
      </w:r>
      <w:r w:rsidRPr="0019043E">
        <w:rPr>
          <w:b/>
        </w:rPr>
        <w:t xml:space="preserve"> </w:t>
      </w:r>
      <w:r w:rsidRPr="0019043E">
        <w:rPr>
          <w:lang w:val="en-US"/>
        </w:rPr>
        <w:t>that</w:t>
      </w:r>
      <w:r w:rsidRPr="0019043E">
        <w:t xml:space="preserve"> </w:t>
      </w:r>
      <w:r w:rsidRPr="0019043E">
        <w:rPr>
          <w:lang w:val="en-US"/>
        </w:rPr>
        <w:t>he</w:t>
      </w:r>
      <w:r w:rsidRPr="0019043E">
        <w:t xml:space="preserve"> </w:t>
      </w:r>
      <w:r w:rsidRPr="0019043E">
        <w:rPr>
          <w:lang w:val="en-US"/>
        </w:rPr>
        <w:t>thought</w:t>
      </w:r>
      <w:r w:rsidRPr="0019043E">
        <w:t xml:space="preserve"> </w:t>
      </w:r>
      <w:r w:rsidRPr="0019043E">
        <w:rPr>
          <w:lang w:val="en-US"/>
        </w:rPr>
        <w:t>only</w:t>
      </w:r>
      <w:r w:rsidRPr="0019043E">
        <w:t xml:space="preserve"> </w:t>
      </w:r>
      <w:r w:rsidRPr="0019043E">
        <w:rPr>
          <w:lang w:val="en-US"/>
        </w:rPr>
        <w:t>of</w:t>
      </w:r>
      <w:r w:rsidRPr="0019043E">
        <w:t xml:space="preserve"> </w:t>
      </w:r>
      <w:r w:rsidRPr="0019043E">
        <w:rPr>
          <w:lang w:val="en-US"/>
        </w:rPr>
        <w:t>himself</w:t>
      </w:r>
      <w:r w:rsidRPr="0019043E">
        <w:t>» - «...</w:t>
      </w:r>
      <w:r w:rsidRPr="0019043E">
        <w:rPr>
          <w:i/>
          <w:iCs/>
        </w:rPr>
        <w:t>говорят</w:t>
      </w:r>
      <w:r w:rsidRPr="0019043E">
        <w:t xml:space="preserve">, что он был жесток и думал лишь о собственной славе» (Н. Сандрова) - «...его </w:t>
      </w:r>
      <w:r w:rsidRPr="0019043E">
        <w:rPr>
          <w:i/>
          <w:iCs/>
        </w:rPr>
        <w:t>обвиняли</w:t>
      </w:r>
      <w:r w:rsidRPr="0019043E">
        <w:t xml:space="preserve"> в непомерной гордыне» (Т. Красавченко)). </w:t>
      </w:r>
    </w:p>
    <w:p w:rsidR="009B5897" w:rsidRPr="00C21E2B" w:rsidRDefault="009B5897" w:rsidP="00344963">
      <w:pPr>
        <w:ind w:firstLine="709"/>
        <w:jc w:val="both"/>
      </w:pPr>
      <w:r>
        <w:t>Таким образом, н</w:t>
      </w:r>
      <w:r w:rsidRPr="00C21E2B">
        <w:t>еопределенные местоимения</w:t>
      </w:r>
      <w:r w:rsidRPr="009E7922">
        <w:t>,</w:t>
      </w:r>
      <w:r w:rsidRPr="00C21E2B">
        <w:t xml:space="preserve"> как и неопределенно-личные предложени</w:t>
      </w:r>
      <w:r w:rsidRPr="009E7922">
        <w:t>я,</w:t>
      </w:r>
      <w:r w:rsidRPr="00C21E2B">
        <w:t xml:space="preserve"> используются чаще всего у Н. Сандровой и Т. Красавченко, тогда как у Д. Лаврентюка наблюдается </w:t>
      </w:r>
      <w:r>
        <w:t>частое</w:t>
      </w:r>
      <w:r w:rsidRPr="00C21E2B">
        <w:t xml:space="preserve"> употреблен</w:t>
      </w:r>
      <w:r>
        <w:t>ие</w:t>
      </w:r>
      <w:r w:rsidRPr="00C21E2B">
        <w:t xml:space="preserve"> пассива</w:t>
      </w:r>
      <w:r>
        <w:t xml:space="preserve">, </w:t>
      </w:r>
      <w:r w:rsidRPr="009E7922">
        <w:t>калькирующего оригинал и стилистически «утяжеляющего» русский перевод</w:t>
      </w:r>
      <w:r>
        <w:t xml:space="preserve">: «кучеру </w:t>
      </w:r>
      <w:r w:rsidRPr="009E7922">
        <w:rPr>
          <w:i/>
        </w:rPr>
        <w:t>был отдан приказ</w:t>
      </w:r>
      <w:r>
        <w:t xml:space="preserve"> не терять времени и поспеть в определенный час», «мои </w:t>
      </w:r>
      <w:r w:rsidRPr="009E7922">
        <w:rPr>
          <w:i/>
        </w:rPr>
        <w:t>вещи</w:t>
      </w:r>
      <w:r>
        <w:t xml:space="preserve"> </w:t>
      </w:r>
      <w:r w:rsidRPr="009E7922">
        <w:rPr>
          <w:i/>
        </w:rPr>
        <w:t>были вынуты</w:t>
      </w:r>
      <w:r>
        <w:t xml:space="preserve"> из дилижанса», «моя </w:t>
      </w:r>
      <w:r w:rsidRPr="009E7922">
        <w:rPr>
          <w:i/>
        </w:rPr>
        <w:t>одежда была сложена</w:t>
      </w:r>
      <w:r>
        <w:t xml:space="preserve"> не так, как я это обычно делаю» и т. д. </w:t>
      </w:r>
    </w:p>
    <w:p w:rsidR="009B5897" w:rsidRPr="0019043E" w:rsidRDefault="009B5897" w:rsidP="00344963">
      <w:pPr>
        <w:ind w:firstLine="709"/>
        <w:jc w:val="both"/>
      </w:pPr>
      <w:r w:rsidRPr="00C21E2B">
        <w:t>Не менее важным объектом изучения</w:t>
      </w:r>
      <w:r>
        <w:t xml:space="preserve"> стали безличные конструкции</w:t>
      </w:r>
      <w:r w:rsidRPr="0019043E">
        <w:t>, которые</w:t>
      </w:r>
      <w:r>
        <w:t xml:space="preserve"> используются переводчиками для:</w:t>
      </w:r>
    </w:p>
    <w:p w:rsidR="009B5897" w:rsidRPr="0019043E" w:rsidRDefault="009B5897" w:rsidP="00344963">
      <w:pPr>
        <w:pStyle w:val="ListParagraph"/>
        <w:numPr>
          <w:ilvl w:val="0"/>
          <w:numId w:val="3"/>
        </w:numPr>
        <w:ind w:firstLine="709"/>
        <w:jc w:val="both"/>
      </w:pPr>
      <w:r w:rsidRPr="0019043E">
        <w:t xml:space="preserve">снятия с себя или взятия на себя ответственности говорящим (ср. </w:t>
      </w:r>
      <w:r w:rsidRPr="0019043E">
        <w:rPr>
          <w:lang w:val="en-US"/>
        </w:rPr>
        <w:t>«</w:t>
      </w:r>
      <w:r w:rsidRPr="0019043E">
        <w:rPr>
          <w:i/>
          <w:iCs/>
          <w:color w:val="000000"/>
          <w:shd w:val="clear" w:color="auto" w:fill="FFFFFF"/>
          <w:lang w:val="en-US"/>
        </w:rPr>
        <w:t>I was not able to light on</w:t>
      </w:r>
      <w:r w:rsidRPr="0019043E">
        <w:rPr>
          <w:color w:val="000000"/>
          <w:shd w:val="clear" w:color="auto" w:fill="FFFFFF"/>
          <w:lang w:val="en-US"/>
        </w:rPr>
        <w:t>…</w:t>
      </w:r>
      <w:r w:rsidRPr="0019043E">
        <w:rPr>
          <w:lang w:val="en-US"/>
        </w:rPr>
        <w:t>» - «</w:t>
      </w:r>
      <w:r w:rsidRPr="0019043E">
        <w:rPr>
          <w:i/>
          <w:iCs/>
        </w:rPr>
        <w:t>Я</w:t>
      </w:r>
      <w:r w:rsidRPr="0019043E">
        <w:rPr>
          <w:i/>
          <w:iCs/>
          <w:lang w:val="en-US"/>
        </w:rPr>
        <w:t xml:space="preserve"> </w:t>
      </w:r>
      <w:r w:rsidRPr="0019043E">
        <w:rPr>
          <w:i/>
          <w:iCs/>
        </w:rPr>
        <w:t>не</w:t>
      </w:r>
      <w:r w:rsidRPr="0019043E">
        <w:rPr>
          <w:i/>
          <w:iCs/>
          <w:lang w:val="en-US"/>
        </w:rPr>
        <w:t xml:space="preserve"> </w:t>
      </w:r>
      <w:r w:rsidRPr="0019043E">
        <w:rPr>
          <w:i/>
          <w:iCs/>
        </w:rPr>
        <w:t>мог</w:t>
      </w:r>
      <w:r w:rsidRPr="0019043E">
        <w:rPr>
          <w:i/>
          <w:iCs/>
          <w:lang w:val="en-US"/>
        </w:rPr>
        <w:t xml:space="preserve"> </w:t>
      </w:r>
      <w:r w:rsidRPr="0019043E">
        <w:rPr>
          <w:i/>
          <w:iCs/>
        </w:rPr>
        <w:t>найти</w:t>
      </w:r>
      <w:r w:rsidRPr="0019043E">
        <w:rPr>
          <w:lang w:val="en-US"/>
        </w:rPr>
        <w:t xml:space="preserve">…» </w:t>
      </w:r>
      <w:r w:rsidRPr="0019043E">
        <w:t>(Н. Сандрова) - «…</w:t>
      </w:r>
      <w:r w:rsidRPr="0019043E">
        <w:rPr>
          <w:i/>
          <w:iCs/>
        </w:rPr>
        <w:t>не удалось установить</w:t>
      </w:r>
      <w:r w:rsidRPr="0019043E">
        <w:t xml:space="preserve">…» (Т. Красавченко) - «...никакие географические карты и другие источники </w:t>
      </w:r>
      <w:r w:rsidRPr="0019043E">
        <w:rPr>
          <w:i/>
          <w:iCs/>
        </w:rPr>
        <w:t>не могли мне помочь определить</w:t>
      </w:r>
      <w:r w:rsidRPr="0019043E">
        <w:t>…» (Д. Лаврентюк</w:t>
      </w:r>
      <w:r>
        <w:t>)),</w:t>
      </w:r>
    </w:p>
    <w:p w:rsidR="009B5897" w:rsidRDefault="009B5897" w:rsidP="00344963">
      <w:pPr>
        <w:pStyle w:val="ListParagraph"/>
        <w:numPr>
          <w:ilvl w:val="0"/>
          <w:numId w:val="3"/>
        </w:numPr>
        <w:ind w:firstLine="709"/>
        <w:jc w:val="both"/>
      </w:pPr>
      <w:r w:rsidRPr="0019043E">
        <w:t>того, чтобы показать: владеет ли герой ситуацией, по его ли воле происходят события, или же они продиктованы чем-то свыше, извне (ср. «</w:t>
      </w:r>
      <w:r w:rsidRPr="0019043E">
        <w:rPr>
          <w:i/>
          <w:iCs/>
          <w:lang w:val="en-US"/>
        </w:rPr>
        <w:t>in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case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chance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would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admit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of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my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prolonging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my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stay</w:t>
      </w:r>
      <w:r w:rsidRPr="0019043E">
        <w:t xml:space="preserve">» - «...в случае, если </w:t>
      </w:r>
      <w:r w:rsidRPr="0019043E">
        <w:rPr>
          <w:i/>
          <w:iCs/>
        </w:rPr>
        <w:t>я продолжу свое пребывание</w:t>
      </w:r>
      <w:r w:rsidRPr="0019043E">
        <w:t xml:space="preserve"> в замке» (Н. Сандрова) - «а если по каким-то причинам </w:t>
      </w:r>
      <w:r w:rsidRPr="0019043E">
        <w:rPr>
          <w:i/>
          <w:iCs/>
        </w:rPr>
        <w:t>я пробуду</w:t>
      </w:r>
      <w:r w:rsidRPr="0019043E">
        <w:rPr>
          <w:b/>
        </w:rPr>
        <w:t xml:space="preserve"> </w:t>
      </w:r>
      <w:r w:rsidRPr="0019043E">
        <w:t>в замке еще некоторое время» (Т. Красавченко) - «</w:t>
      </w:r>
      <w:r w:rsidRPr="0019043E">
        <w:rPr>
          <w:i/>
          <w:iCs/>
        </w:rPr>
        <w:t>если бы мне пришлось продлить свое пребывание</w:t>
      </w:r>
      <w:r w:rsidRPr="0019043E">
        <w:t xml:space="preserve"> в замке» (Д. Лаврентюк)). </w:t>
      </w:r>
    </w:p>
    <w:p w:rsidR="009B5897" w:rsidRPr="00C21E2B" w:rsidRDefault="009B5897" w:rsidP="00344963">
      <w:pPr>
        <w:pStyle w:val="ListParagraph"/>
        <w:ind w:left="0" w:firstLine="709"/>
        <w:jc w:val="both"/>
      </w:pPr>
      <w:r>
        <w:t>Так, н</w:t>
      </w:r>
      <w:r w:rsidRPr="00C21E2B">
        <w:t>аибольшее количество определенно-личных конструкций встречается в перево</w:t>
      </w:r>
      <w:r>
        <w:t>дах</w:t>
      </w:r>
      <w:r w:rsidRPr="00C21E2B">
        <w:t xml:space="preserve"> Н. Сандровой</w:t>
      </w:r>
      <w:r>
        <w:t xml:space="preserve"> и Д. Лаврентюка, в результате чего Джонатан Харкер </w:t>
      </w:r>
      <w:r w:rsidRPr="009E7922">
        <w:t>выглядит в этих текстах</w:t>
      </w:r>
      <w:r>
        <w:t xml:space="preserve"> более активным и деятельным.</w:t>
      </w:r>
      <w:r w:rsidRPr="00C21E2B">
        <w:t xml:space="preserve"> Т. Красавченко, напротив, тяготеет к безличным конструкциям</w:t>
      </w:r>
      <w:r>
        <w:t xml:space="preserve">: </w:t>
      </w:r>
      <w:r w:rsidRPr="00C21E2B">
        <w:t xml:space="preserve">герой </w:t>
      </w:r>
      <w:r>
        <w:t>в этом переводе оказывается</w:t>
      </w:r>
      <w:r w:rsidRPr="00C21E2B">
        <w:t xml:space="preserve"> пассив</w:t>
      </w:r>
      <w:r>
        <w:t>ным</w:t>
      </w:r>
      <w:r w:rsidRPr="00C21E2B">
        <w:t xml:space="preserve">, а ситуация </w:t>
      </w:r>
      <w:r>
        <w:t xml:space="preserve">- </w:t>
      </w:r>
      <w:r w:rsidRPr="00C21E2B">
        <w:t>в большей степени окружен</w:t>
      </w:r>
      <w:r>
        <w:t>ной</w:t>
      </w:r>
      <w:r w:rsidRPr="00C21E2B">
        <w:t xml:space="preserve"> тайной</w:t>
      </w:r>
      <w:r>
        <w:t>.</w:t>
      </w:r>
    </w:p>
    <w:p w:rsidR="009B5897" w:rsidRPr="0019043E" w:rsidRDefault="009B5897" w:rsidP="00344963">
      <w:pPr>
        <w:ind w:firstLine="709"/>
        <w:jc w:val="both"/>
      </w:pPr>
      <w:r w:rsidRPr="0019043E">
        <w:t>Также встретились случаи, где различие русских вариантов объясняется возможностью перевести оригинальный текст романа несколькими способами (ср. «</w:t>
      </w:r>
      <w:r w:rsidRPr="0019043E">
        <w:rPr>
          <w:lang w:val="en-US"/>
        </w:rPr>
        <w:t>though</w:t>
      </w:r>
      <w:r w:rsidRPr="0019043E">
        <w:t xml:space="preserve"> </w:t>
      </w:r>
      <w:r w:rsidRPr="0019043E">
        <w:rPr>
          <w:i/>
          <w:iCs/>
          <w:lang w:val="en-US"/>
        </w:rPr>
        <w:t>sad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am</w:t>
      </w:r>
      <w:r w:rsidRPr="0019043E">
        <w:rPr>
          <w:i/>
          <w:iCs/>
        </w:rPr>
        <w:t xml:space="preserve"> </w:t>
      </w:r>
      <w:r w:rsidRPr="0019043E">
        <w:rPr>
          <w:i/>
          <w:iCs/>
          <w:lang w:val="en-US"/>
        </w:rPr>
        <w:t>I</w:t>
      </w:r>
      <w:r w:rsidRPr="0019043E">
        <w:t xml:space="preserve"> </w:t>
      </w:r>
      <w:r w:rsidRPr="0019043E">
        <w:rPr>
          <w:lang w:val="en-US"/>
        </w:rPr>
        <w:t>at</w:t>
      </w:r>
      <w:r w:rsidRPr="0019043E">
        <w:t xml:space="preserve"> </w:t>
      </w:r>
      <w:r w:rsidRPr="0019043E">
        <w:rPr>
          <w:lang w:val="en-US"/>
        </w:rPr>
        <w:t>your</w:t>
      </w:r>
      <w:r w:rsidRPr="0019043E">
        <w:t xml:space="preserve"> </w:t>
      </w:r>
      <w:r w:rsidRPr="0019043E">
        <w:rPr>
          <w:lang w:val="en-US"/>
        </w:rPr>
        <w:t>going</w:t>
      </w:r>
      <w:r w:rsidRPr="0019043E">
        <w:t xml:space="preserve">» - «хотя </w:t>
      </w:r>
      <w:r w:rsidRPr="0019043E">
        <w:rPr>
          <w:i/>
          <w:iCs/>
        </w:rPr>
        <w:t>я грущу</w:t>
      </w:r>
      <w:r w:rsidRPr="0019043E">
        <w:t xml:space="preserve">, что вы уезжаете» (Н. Сандрова) - «хотя </w:t>
      </w:r>
      <w:r w:rsidRPr="0019043E">
        <w:rPr>
          <w:i/>
          <w:iCs/>
        </w:rPr>
        <w:t xml:space="preserve">мне </w:t>
      </w:r>
      <w:r w:rsidRPr="0019043E">
        <w:t>очень</w:t>
      </w:r>
      <w:r w:rsidRPr="0019043E">
        <w:rPr>
          <w:i/>
          <w:iCs/>
        </w:rPr>
        <w:t xml:space="preserve"> грустно</w:t>
      </w:r>
      <w:r w:rsidRPr="0019043E">
        <w:t xml:space="preserve"> и расставаться с вами» (Т. Красавченко)).</w:t>
      </w:r>
    </w:p>
    <w:p w:rsidR="009B5897" w:rsidRPr="0019043E" w:rsidRDefault="009B5897" w:rsidP="00344963">
      <w:pPr>
        <w:ind w:firstLine="709"/>
        <w:jc w:val="both"/>
      </w:pPr>
      <w:r w:rsidRPr="0019043E">
        <w:t>Таким образом, переводческие трансформации влияют на образы главных персонажей романа – Джонатана Харкера и графа Дракулы. При выборе безличных предложений Джонатан Харкер изображается пассивным, а его жизнь является стечением загадочных обстоятельств. При выборе конструкции с личным подлежащим герой представлен как персонаж активный, энергично сопротивляющийся злу, которое его окружает. Что касается графа Дракулы, то здесь выбор конструкций с личным подлежащим делает его более властным, тогда как изобилие безличных предложений ослабляет эту черту.</w:t>
      </w:r>
    </w:p>
    <w:p w:rsidR="009B5897" w:rsidRPr="0019043E" w:rsidRDefault="009B5897" w:rsidP="00344963">
      <w:pPr>
        <w:ind w:firstLine="709"/>
        <w:jc w:val="both"/>
      </w:pPr>
      <w:r w:rsidRPr="0019043E">
        <w:t xml:space="preserve">Следовательно, </w:t>
      </w:r>
      <w:r w:rsidRPr="00C21E2B">
        <w:t>в результате предпочтения переводчиком синтаксических конструкций того или иного типа</w:t>
      </w:r>
      <w:r>
        <w:t>,</w:t>
      </w:r>
      <w:r w:rsidRPr="0019043E">
        <w:t xml:space="preserve"> ситуация «охотника» и «жертвы», которая так характерна для всех «вампирских» сюжетов, обостряется или, напротив, затушевывается.</w:t>
      </w:r>
    </w:p>
    <w:p w:rsidR="009B5897" w:rsidRPr="00311C8A" w:rsidRDefault="009B5897" w:rsidP="00344963">
      <w:pPr>
        <w:ind w:firstLine="709"/>
        <w:jc w:val="both"/>
      </w:pPr>
    </w:p>
    <w:p w:rsidR="009B5897" w:rsidRDefault="009B5897" w:rsidP="00344963">
      <w:pPr>
        <w:ind w:firstLine="709"/>
        <w:jc w:val="center"/>
        <w:rPr>
          <w:i/>
        </w:rPr>
      </w:pPr>
      <w:r w:rsidRPr="002B233C">
        <w:rPr>
          <w:i/>
        </w:rPr>
        <w:t>Литература</w:t>
      </w:r>
    </w:p>
    <w:p w:rsidR="009B5897" w:rsidRPr="002B233C" w:rsidRDefault="009B5897" w:rsidP="00344963">
      <w:pPr>
        <w:ind w:firstLine="709"/>
        <w:jc w:val="both"/>
        <w:rPr>
          <w:color w:val="000000"/>
          <w:shd w:val="clear" w:color="auto" w:fill="FFFFFF"/>
        </w:rPr>
      </w:pPr>
      <w:r w:rsidRPr="00344963">
        <w:rPr>
          <w:i/>
          <w:shd w:val="clear" w:color="auto" w:fill="FFFFFF"/>
        </w:rPr>
        <w:t>Булыгина Т.В., Шмелёв А. Д.</w:t>
      </w:r>
      <w:r w:rsidRPr="00A911AC">
        <w:rPr>
          <w:shd w:val="clear" w:color="auto" w:fill="FFFFFF"/>
        </w:rPr>
        <w:t xml:space="preserve"> Языковая концептуализация мира (на материале русской грамматики). М., 1997.</w:t>
      </w:r>
    </w:p>
    <w:p w:rsidR="009B5897" w:rsidRPr="00A911AC" w:rsidRDefault="009B5897" w:rsidP="00344963">
      <w:pPr>
        <w:ind w:firstLine="709"/>
        <w:jc w:val="both"/>
      </w:pPr>
      <w:r w:rsidRPr="00344963">
        <w:rPr>
          <w:i/>
        </w:rPr>
        <w:t xml:space="preserve">Золотова Г.А., Онипенко Н.К., Сидорова М.Ю. </w:t>
      </w:r>
      <w:r w:rsidRPr="00A911AC">
        <w:t>Коммуникативная грамматика русского языка. М</w:t>
      </w:r>
      <w:r>
        <w:t>.</w:t>
      </w:r>
      <w:r w:rsidRPr="00A911AC">
        <w:t>, 1998.</w:t>
      </w:r>
    </w:p>
    <w:p w:rsidR="009B5897" w:rsidRDefault="009B5897" w:rsidP="00344963">
      <w:pPr>
        <w:ind w:firstLine="709"/>
        <w:jc w:val="both"/>
      </w:pPr>
      <w:r w:rsidRPr="00344963">
        <w:rPr>
          <w:i/>
        </w:rPr>
        <w:t>Уржа</w:t>
      </w:r>
      <w:r>
        <w:rPr>
          <w:i/>
        </w:rPr>
        <w:t xml:space="preserve"> </w:t>
      </w:r>
      <w:r w:rsidRPr="00344963">
        <w:rPr>
          <w:i/>
        </w:rPr>
        <w:t>А.В.</w:t>
      </w:r>
      <w:r>
        <w:t xml:space="preserve"> </w:t>
      </w:r>
      <w:r w:rsidRPr="00A911AC">
        <w:t>Русский переводной художественный текст с позиций коммун</w:t>
      </w:r>
      <w:r>
        <w:t>икативной грамматики. М., 2009.</w:t>
      </w:r>
    </w:p>
    <w:p w:rsidR="009B5897" w:rsidRDefault="009B5897" w:rsidP="00344963">
      <w:pPr>
        <w:ind w:firstLine="709"/>
        <w:jc w:val="both"/>
      </w:pPr>
    </w:p>
    <w:sectPr w:rsidR="009B5897" w:rsidSect="002B233C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97" w:rsidRDefault="009B5897" w:rsidP="00FA0957">
      <w:r>
        <w:separator/>
      </w:r>
    </w:p>
  </w:endnote>
  <w:endnote w:type="continuationSeparator" w:id="1">
    <w:p w:rsidR="009B5897" w:rsidRDefault="009B5897" w:rsidP="00FA0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897" w:rsidRDefault="009B5897" w:rsidP="00804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5897" w:rsidRDefault="009B5897" w:rsidP="000427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897" w:rsidRDefault="009B5897" w:rsidP="00804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B5897" w:rsidRDefault="009B5897" w:rsidP="000427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97" w:rsidRDefault="009B5897" w:rsidP="00FA0957">
      <w:r>
        <w:separator/>
      </w:r>
    </w:p>
  </w:footnote>
  <w:footnote w:type="continuationSeparator" w:id="1">
    <w:p w:rsidR="009B5897" w:rsidRDefault="009B5897" w:rsidP="00FA0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804"/>
    <w:multiLevelType w:val="hybridMultilevel"/>
    <w:tmpl w:val="85382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F40DEE"/>
    <w:multiLevelType w:val="hybridMultilevel"/>
    <w:tmpl w:val="1360C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A36A9"/>
    <w:multiLevelType w:val="hybridMultilevel"/>
    <w:tmpl w:val="7DFEF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F2F"/>
    <w:rsid w:val="0004273B"/>
    <w:rsid w:val="000F7F72"/>
    <w:rsid w:val="0012047C"/>
    <w:rsid w:val="0019043E"/>
    <w:rsid w:val="001C178C"/>
    <w:rsid w:val="001C3884"/>
    <w:rsid w:val="001D448D"/>
    <w:rsid w:val="002B233C"/>
    <w:rsid w:val="002C0EEA"/>
    <w:rsid w:val="002D6B3C"/>
    <w:rsid w:val="002F5627"/>
    <w:rsid w:val="00305EC4"/>
    <w:rsid w:val="00311C8A"/>
    <w:rsid w:val="00344963"/>
    <w:rsid w:val="00482A28"/>
    <w:rsid w:val="00493AFB"/>
    <w:rsid w:val="004D37FC"/>
    <w:rsid w:val="00513A2A"/>
    <w:rsid w:val="00542949"/>
    <w:rsid w:val="00567454"/>
    <w:rsid w:val="00587F2F"/>
    <w:rsid w:val="005C23AD"/>
    <w:rsid w:val="0061001B"/>
    <w:rsid w:val="006619FD"/>
    <w:rsid w:val="006D2648"/>
    <w:rsid w:val="006E00A0"/>
    <w:rsid w:val="006E7B60"/>
    <w:rsid w:val="00727861"/>
    <w:rsid w:val="00773980"/>
    <w:rsid w:val="007C40C3"/>
    <w:rsid w:val="007E0992"/>
    <w:rsid w:val="00804F69"/>
    <w:rsid w:val="00862F6C"/>
    <w:rsid w:val="008B5AF3"/>
    <w:rsid w:val="009B41DA"/>
    <w:rsid w:val="009B5897"/>
    <w:rsid w:val="009B7650"/>
    <w:rsid w:val="009E7922"/>
    <w:rsid w:val="00A911AC"/>
    <w:rsid w:val="00AB233F"/>
    <w:rsid w:val="00B209D9"/>
    <w:rsid w:val="00BB257A"/>
    <w:rsid w:val="00BD53A3"/>
    <w:rsid w:val="00C21E2B"/>
    <w:rsid w:val="00D6449B"/>
    <w:rsid w:val="00DB0163"/>
    <w:rsid w:val="00E253B1"/>
    <w:rsid w:val="00E27F9E"/>
    <w:rsid w:val="00E46792"/>
    <w:rsid w:val="00E64691"/>
    <w:rsid w:val="00F52F56"/>
    <w:rsid w:val="00F87304"/>
    <w:rsid w:val="00F90431"/>
    <w:rsid w:val="00FA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2F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 сноски"/>
    <w:uiPriority w:val="99"/>
    <w:rsid w:val="00FA09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A09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A095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19043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BD53A3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04273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DB8"/>
    <w:rPr>
      <w:rFonts w:ascii="Times New Roman" w:eastAsia="Times New Roman" w:hAnsi="Times New Roman"/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rsid w:val="000427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757</Words>
  <Characters>4795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/>
  <dc:creator>user</dc:creator>
  <cp:keywords/>
  <dc:description/>
  <cp:lastModifiedBy>user</cp:lastModifiedBy>
  <cp:revision>11</cp:revision>
  <dcterms:created xsi:type="dcterms:W3CDTF">2014-02-12T11:10:00Z</dcterms:created>
  <dcterms:modified xsi:type="dcterms:W3CDTF">2014-02-24T17:41:00Z</dcterms:modified>
</cp:coreProperties>
</file>