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DE" w:rsidRDefault="00EF0A05">
      <w:pPr>
        <w:jc w:val="center"/>
        <w:rPr>
          <w:rStyle w:val="a4"/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Возможности измерения слабых магнитных полей нутационным методом.</w:t>
      </w:r>
      <w:r>
        <w:rPr>
          <w:color w:val="000000"/>
        </w:rPr>
        <w:br/>
      </w:r>
      <w:r>
        <w:rPr>
          <w:rStyle w:val="a4"/>
          <w:b/>
          <w:bCs/>
          <w:color w:val="000000"/>
          <w:shd w:val="clear" w:color="auto" w:fill="FFFFFF"/>
        </w:rPr>
        <w:t>Карсеев Антон Юрьевич</w:t>
      </w:r>
    </w:p>
    <w:p w:rsidR="00BD7DDE" w:rsidRDefault="00EF0A05">
      <w:pPr>
        <w:jc w:val="center"/>
        <w:rPr>
          <w:i/>
        </w:rPr>
      </w:pPr>
      <w:r>
        <w:rPr>
          <w:i/>
        </w:rPr>
        <w:t>Студент</w:t>
      </w:r>
    </w:p>
    <w:p w:rsidR="00BD7DDE" w:rsidRDefault="00EF0A05">
      <w:pPr>
        <w:jc w:val="center"/>
        <w:rPr>
          <w:i/>
        </w:rPr>
      </w:pPr>
      <w:r>
        <w:rPr>
          <w:i/>
        </w:rPr>
        <w:t xml:space="preserve">Санкт-Петербургский государственный Политехнический университет, </w:t>
      </w:r>
      <w:r w:rsidR="00093DBC">
        <w:rPr>
          <w:i/>
        </w:rPr>
        <w:t xml:space="preserve">институт физики, </w:t>
      </w:r>
      <w:proofErr w:type="spellStart"/>
      <w:r w:rsidR="00093DBC">
        <w:rPr>
          <w:i/>
        </w:rPr>
        <w:t>нанотехнологий</w:t>
      </w:r>
      <w:proofErr w:type="spellEnd"/>
      <w:r w:rsidR="00093DBC">
        <w:rPr>
          <w:i/>
        </w:rPr>
        <w:t xml:space="preserve"> и телекоммуникации</w:t>
      </w:r>
      <w:r>
        <w:rPr>
          <w:i/>
        </w:rPr>
        <w:t>, Санкт-Петербург, Россия</w:t>
      </w:r>
    </w:p>
    <w:p w:rsidR="00BD7DDE" w:rsidRPr="00093DBC" w:rsidRDefault="00EF0A05">
      <w:pPr>
        <w:jc w:val="center"/>
        <w:rPr>
          <w:rStyle w:val="a4"/>
          <w:color w:val="000000"/>
          <w:shd w:val="clear" w:color="auto" w:fill="FFFFFF"/>
        </w:rPr>
      </w:pPr>
      <w:r>
        <w:rPr>
          <w:rStyle w:val="a4"/>
          <w:color w:val="000000"/>
          <w:shd w:val="clear" w:color="auto" w:fill="FFFFFF"/>
        </w:rPr>
        <w:t>E–</w:t>
      </w:r>
      <w:proofErr w:type="spellStart"/>
      <w:r>
        <w:rPr>
          <w:rStyle w:val="a4"/>
          <w:color w:val="000000"/>
          <w:shd w:val="clear" w:color="auto" w:fill="FFFFFF"/>
        </w:rPr>
        <w:t>mail</w:t>
      </w:r>
      <w:proofErr w:type="spellEnd"/>
      <w:r>
        <w:rPr>
          <w:rStyle w:val="a4"/>
          <w:color w:val="000000"/>
          <w:shd w:val="clear" w:color="auto" w:fill="FFFFFF"/>
        </w:rPr>
        <w:t xml:space="preserve">: </w:t>
      </w:r>
      <w:proofErr w:type="spellStart"/>
      <w:r>
        <w:rPr>
          <w:rStyle w:val="a4"/>
          <w:color w:val="000000"/>
          <w:shd w:val="clear" w:color="auto" w:fill="FFFFFF"/>
          <w:lang w:val="en-US"/>
        </w:rPr>
        <w:t>antonkarseev</w:t>
      </w:r>
      <w:proofErr w:type="spellEnd"/>
      <w:r>
        <w:rPr>
          <w:rStyle w:val="a4"/>
          <w:color w:val="000000"/>
          <w:shd w:val="clear" w:color="auto" w:fill="FFFFFF"/>
        </w:rPr>
        <w:t>@</w:t>
      </w:r>
      <w:proofErr w:type="spellStart"/>
      <w:r>
        <w:rPr>
          <w:rStyle w:val="a4"/>
          <w:color w:val="000000"/>
          <w:shd w:val="clear" w:color="auto" w:fill="FFFFFF"/>
          <w:lang w:val="en-US"/>
        </w:rPr>
        <w:t>gmail</w:t>
      </w:r>
      <w:proofErr w:type="spellEnd"/>
      <w:r>
        <w:rPr>
          <w:rStyle w:val="a4"/>
          <w:color w:val="000000"/>
          <w:shd w:val="clear" w:color="auto" w:fill="FFFFFF"/>
        </w:rPr>
        <w:t>.</w:t>
      </w:r>
      <w:r>
        <w:rPr>
          <w:rStyle w:val="a4"/>
          <w:color w:val="000000"/>
          <w:shd w:val="clear" w:color="auto" w:fill="FFFFFF"/>
          <w:lang w:val="en-US"/>
        </w:rPr>
        <w:t>com</w:t>
      </w:r>
    </w:p>
    <w:p w:rsidR="00BD7DDE" w:rsidRDefault="00BD7DDE">
      <w:pPr>
        <w:jc w:val="center"/>
        <w:rPr>
          <w:color w:val="000000"/>
          <w:shd w:val="clear" w:color="auto" w:fill="FFFFFF"/>
        </w:rPr>
      </w:pPr>
    </w:p>
    <w:p w:rsidR="00BD7DDE" w:rsidRDefault="00EF0A05" w:rsidP="00093DBC">
      <w:pPr>
        <w:ind w:firstLine="397"/>
        <w:jc w:val="both"/>
      </w:pPr>
      <w:r>
        <w:t>Прецизионные измерения слабых магнитных полей составляют быстро развивающийся раздел метрологии, находящий множество различных применений, как в фундаментальных, так и прикладных исследованиях [1, 2]. К магнитометрам, обеспечивающим эти измерения, предъя</w:t>
      </w:r>
      <w:r>
        <w:t>вляют очень высокие требования по точности. Это связано с тем, что измерения магнитной индукции в</w:t>
      </w:r>
      <w:bookmarkStart w:id="0" w:name="_GoBack"/>
      <w:bookmarkEnd w:id="0"/>
      <w:r>
        <w:t xml:space="preserve"> большинстве случаев (например, магнитные навигационные системы, геофизика и т.д.) производятся в полях близким к полю Земли, а в некоторых случаях значительно</w:t>
      </w:r>
      <w:r>
        <w:t xml:space="preserve"> ниже их [1 - 3].</w:t>
      </w:r>
    </w:p>
    <w:p w:rsidR="00BD7DDE" w:rsidRDefault="00EF0A05" w:rsidP="00093DBC">
      <w:pPr>
        <w:ind w:firstLine="397"/>
        <w:jc w:val="both"/>
      </w:pPr>
      <w:r>
        <w:t xml:space="preserve">Индукция магнитного поля Земли </w:t>
      </w:r>
      <w:proofErr w:type="spellStart"/>
      <w:r>
        <w:t>В</w:t>
      </w:r>
      <w:r>
        <w:rPr>
          <w:vertAlign w:val="subscript"/>
        </w:rPr>
        <w:t>з</w:t>
      </w:r>
      <w:proofErr w:type="spellEnd"/>
      <w:r>
        <w:t xml:space="preserve"> составляет величину от. 31 до 56 </w:t>
      </w:r>
      <w:proofErr w:type="spellStart"/>
      <w:r>
        <w:t>мкТл</w:t>
      </w:r>
      <w:proofErr w:type="spellEnd"/>
      <w:r>
        <w:t xml:space="preserve">. Для проведения таких измерений используется большое количество различных типов магнитометров: протонные, СКВИД, феррозондовые, цезиевые с оптической накачкой и т.д. </w:t>
      </w:r>
      <w:r>
        <w:t>Наибольшее распространение и применение из них для проведения таких измерений получили квантовые магнитометры [1, 2].</w:t>
      </w:r>
    </w:p>
    <w:p w:rsidR="00BD7DDE" w:rsidRDefault="00EF0A05" w:rsidP="00093DBC">
      <w:pPr>
        <w:ind w:firstLine="397"/>
        <w:jc w:val="both"/>
      </w:pPr>
      <w:r>
        <w:t>Но существует круг задач, где необходимо измерять слабое магнитное поле с высокой точностью в диапазоне от 10 до 1000 нТл. Например, контр</w:t>
      </w:r>
      <w:r>
        <w:t>оль качества экранирования магнитного поля внутри ферромагнитных экранов (коэффициент экранирования 10</w:t>
      </w:r>
      <w:r>
        <w:rPr>
          <w:vertAlign w:val="superscript"/>
        </w:rPr>
        <w:t>-4</w:t>
      </w:r>
      <w:r>
        <w:t xml:space="preserve"> – 10</w:t>
      </w:r>
      <w:r>
        <w:rPr>
          <w:vertAlign w:val="superscript"/>
        </w:rPr>
        <w:t>-5</w:t>
      </w:r>
      <w:r>
        <w:t>). Размеры таких экранов могут быть от 10 см до нескольких метров по трем измерениям (экранированная комната для измерения магнитных полей биолог</w:t>
      </w:r>
      <w:r>
        <w:t>ических объектов).</w:t>
      </w:r>
    </w:p>
    <w:p w:rsidR="00BD7DDE" w:rsidRDefault="00EF0A05" w:rsidP="00093DBC">
      <w:pPr>
        <w:ind w:firstLine="397"/>
        <w:contextualSpacing/>
        <w:jc w:val="both"/>
      </w:pPr>
      <w:r>
        <w:t>Одним из возможных решений этой задачи является использование проточного нутационного ядерно – магнитного магнитометра. Данные магнитометры потенциально обладают высокой точностью (индукция магнитного поля определяется по частоте ядерног</w:t>
      </w:r>
      <w:r>
        <w:t xml:space="preserve">о резонанса), не нуждаются в градуировке и просты в эксплуатации.  Высокие метрологические характеристики этого прибора позволили его ранее использовать в качестве первичного [4] </w:t>
      </w:r>
      <w:r>
        <w:t xml:space="preserve">средства измерения магнитной индукции.  </w:t>
      </w:r>
    </w:p>
    <w:p w:rsidR="00BD7DDE" w:rsidRDefault="00EF0A05" w:rsidP="00093DBC">
      <w:pPr>
        <w:ind w:firstLine="397"/>
        <w:contextualSpacing/>
        <w:jc w:val="both"/>
      </w:pPr>
      <w:r>
        <w:t>На основе проведенных мною исследова</w:t>
      </w:r>
      <w:r>
        <w:t xml:space="preserve">ний была разработана конструкция нутационного ядерно – магнитного (ЯМР) магнитометра для измерения магнитных полей с индукцией от 10 до 1000 нТл. </w:t>
      </w:r>
      <w:r>
        <w:t>Кроме того, в результате исследований были получены новые научные результаты. Ширина линии нутации не зависит</w:t>
      </w:r>
      <w:r>
        <w:t xml:space="preserve"> от времени поперечной релаксации Т</w:t>
      </w:r>
      <w:r>
        <w:rPr>
          <w:vertAlign w:val="subscript"/>
        </w:rPr>
        <w:t>2</w:t>
      </w:r>
      <w:r>
        <w:t xml:space="preserve"> проточной жидкости, естественная ширина линии регистрируемого сигнала ЯМР учитывается только в устройстве регистрации, расположенном на расстоянии более 1.5 м от места измерения магнитного поля и не влияет на диапазон и</w:t>
      </w:r>
      <w:r>
        <w:t xml:space="preserve">змерения магнитного поля в отличие от других типов магнитометров, используемых для таких измерений.     Полная инверсия намагниченности </w:t>
      </w:r>
      <w:proofErr w:type="spellStart"/>
      <w:r>
        <w:t>М</w:t>
      </w:r>
      <w:r>
        <w:rPr>
          <w:vertAlign w:val="subscript"/>
        </w:rPr>
        <w:t>п</w:t>
      </w:r>
      <w:proofErr w:type="spellEnd"/>
      <w:r>
        <w:t xml:space="preserve"> – поворот вектора на 180</w:t>
      </w:r>
      <w:r>
        <w:rPr>
          <w:vertAlign w:val="superscript"/>
        </w:rPr>
        <w:t>0</w:t>
      </w:r>
      <w:r>
        <w:t xml:space="preserve"> происходит на резонансной частоте нутации </w:t>
      </w:r>
      <w:bookmarkStart w:id="1" w:name="__DdeLink__198_1518503762"/>
      <w:r>
        <w:rPr>
          <w:rFonts w:ascii="Symbol" w:hAnsi="Symbol"/>
          <w:sz w:val="28"/>
          <w:szCs w:val="28"/>
          <w:lang w:val="en-US"/>
        </w:rPr>
        <w:t></w:t>
      </w:r>
      <w:bookmarkEnd w:id="1"/>
      <w:r>
        <w:rPr>
          <w:vertAlign w:val="subscript"/>
        </w:rPr>
        <w:t>н</w:t>
      </w:r>
      <w:r>
        <w:t xml:space="preserve"> радиополя Н</w:t>
      </w:r>
      <w:r>
        <w:rPr>
          <w:vertAlign w:val="subscript"/>
        </w:rPr>
        <w:t>1</w:t>
      </w:r>
      <w:r>
        <w:t xml:space="preserve">. Частота </w:t>
      </w:r>
      <w:r>
        <w:rPr>
          <w:rFonts w:ascii="Symbol" w:hAnsi="Symbol"/>
          <w:sz w:val="28"/>
          <w:szCs w:val="28"/>
          <w:lang w:val="en-US"/>
        </w:rPr>
        <w:t></w:t>
      </w:r>
      <w:r>
        <w:rPr>
          <w:vertAlign w:val="subscript"/>
        </w:rPr>
        <w:t>н</w:t>
      </w:r>
      <w:r>
        <w:t xml:space="preserve"> связана с магнитным полем В</w:t>
      </w:r>
      <w:r>
        <w:rPr>
          <w:vertAlign w:val="subscript"/>
        </w:rPr>
        <w:t>0</w:t>
      </w:r>
      <w:r>
        <w:t xml:space="preserve">, в котором находится катушка нутации, следующим образом [3]: </w:t>
      </w:r>
    </w:p>
    <w:p w:rsidR="00BD7DDE" w:rsidRDefault="00EF0A05">
      <w:pPr>
        <w:ind w:firstLine="708"/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н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γ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                                                              (1)</w:t>
      </w:r>
    </w:p>
    <w:p w:rsidR="00BD7DDE" w:rsidRDefault="00EF0A05">
      <w:pPr>
        <w:jc w:val="both"/>
      </w:pPr>
      <w:proofErr w:type="gramStart"/>
      <w:r>
        <w:t>где</w:t>
      </w:r>
      <w:proofErr w:type="gramEnd"/>
      <w:r>
        <w:t xml:space="preserve"> </w:t>
      </w:r>
      <w:r>
        <w:rPr>
          <w:rFonts w:ascii="Symbol" w:hAnsi="Symbol"/>
          <w:sz w:val="28"/>
          <w:szCs w:val="28"/>
          <w:lang w:val="en-US"/>
        </w:rPr>
        <w:t></w:t>
      </w:r>
      <w:r>
        <w:rPr>
          <w:rFonts w:ascii="Symbol" w:hAnsi="Symbol"/>
          <w:sz w:val="28"/>
          <w:szCs w:val="28"/>
        </w:rPr>
        <w:t></w:t>
      </w:r>
      <w:r>
        <w:rPr>
          <w:rFonts w:ascii="Symbol" w:hAnsi="Symbol"/>
          <w:sz w:val="28"/>
          <w:szCs w:val="28"/>
        </w:rPr>
        <w:t></w:t>
      </w:r>
      <w:r>
        <w:rPr>
          <w:rFonts w:ascii="Symbol" w:hAnsi="Symbol"/>
          <w:sz w:val="28"/>
          <w:szCs w:val="28"/>
        </w:rPr>
        <w:t></w:t>
      </w:r>
      <w:r>
        <w:t>гиромагнитное отношение ядер.</w:t>
      </w:r>
    </w:p>
    <w:p w:rsidR="00BD7DDE" w:rsidRDefault="00EF0A05" w:rsidP="00093DBC">
      <w:pPr>
        <w:ind w:firstLine="397"/>
        <w:contextualSpacing/>
        <w:jc w:val="both"/>
      </w:pPr>
      <w:r>
        <w:t>При некоторой амплитуде радиополя Н</w:t>
      </w:r>
      <w:r>
        <w:rPr>
          <w:vertAlign w:val="subscript"/>
        </w:rPr>
        <w:t>1</w:t>
      </w:r>
      <w:r>
        <w:t xml:space="preserve"> в катушке нут</w:t>
      </w:r>
      <w:r>
        <w:t>ации в схеме регистрации сигнала ЯМР наблюдается максимальный сигнал нутации при частоте этого поля (</w:t>
      </w:r>
      <w:r>
        <w:rPr>
          <w:rFonts w:ascii="Symbol" w:hAnsi="Symbol"/>
          <w:sz w:val="28"/>
          <w:szCs w:val="28"/>
          <w:lang w:val="en-US"/>
        </w:rPr>
        <w:t></w:t>
      </w:r>
      <w:r>
        <w:rPr>
          <w:vertAlign w:val="subscript"/>
        </w:rPr>
        <w:t>н</w:t>
      </w:r>
      <w:r>
        <w:t>), равной частоте прецессии ядер в поле В</w:t>
      </w:r>
      <w:r>
        <w:rPr>
          <w:vertAlign w:val="subscript"/>
        </w:rPr>
        <w:t>0</w:t>
      </w:r>
      <w:r>
        <w:t>.</w:t>
      </w:r>
    </w:p>
    <w:p w:rsidR="00BD7DDE" w:rsidRDefault="00EF0A05" w:rsidP="00093DBC">
      <w:pPr>
        <w:ind w:firstLine="397"/>
        <w:jc w:val="both"/>
      </w:pPr>
      <w:r>
        <w:t>На основании решения уравнений Блоха во вращающейся системе координат было получено условия максимального си</w:t>
      </w:r>
      <w:r>
        <w:t>гнала нутации:</w:t>
      </w:r>
    </w:p>
    <w:p w:rsidR="00BD7DDE" w:rsidRDefault="00EF0A05">
      <w:pPr>
        <w:jc w:val="center"/>
      </w:pPr>
      <m:oMathPara>
        <m:oMath>
          <m:r>
            <w:rPr>
              <w:rFonts w:ascii="Cambria Math" w:hAnsi="Cambria Math"/>
            </w:rPr>
            <w:lastRenderedPageBreak/>
            <m:t>γ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Н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q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π</m:t>
          </m:r>
        </m:oMath>
      </m:oMathPara>
    </w:p>
    <w:p w:rsidR="00BD7DDE" w:rsidRDefault="00EF0A05" w:rsidP="00093DBC">
      <w:pPr>
        <w:jc w:val="both"/>
      </w:pPr>
      <w:proofErr w:type="gramStart"/>
      <w:r>
        <w:t>где</w:t>
      </w:r>
      <w:proofErr w:type="gramEnd"/>
      <w:r>
        <w:t xml:space="preserve"> </w:t>
      </w:r>
      <w:r>
        <w:rPr>
          <w:lang w:val="en-US"/>
        </w:rPr>
        <w:t>V</w:t>
      </w:r>
      <w:r>
        <w:rPr>
          <w:vertAlign w:val="subscript"/>
        </w:rPr>
        <w:t>н</w:t>
      </w:r>
      <w:r>
        <w:t xml:space="preserve"> – объем катушки нутации, </w:t>
      </w:r>
      <w:r>
        <w:rPr>
          <w:lang w:val="en-US"/>
        </w:rPr>
        <w:t>q</w:t>
      </w:r>
      <w:r>
        <w:t xml:space="preserve"> – расход жидкой среды.</w:t>
      </w:r>
      <w:r w:rsidR="00093DBC">
        <w:t xml:space="preserve"> </w:t>
      </w:r>
      <w:r>
        <w:t xml:space="preserve">Для описания процесса нутации вводят величину </w:t>
      </w: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=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н</m:t>
                </m:r>
              </m:sub>
            </m:sSub>
          </m:num>
          <m:den>
            <m:r>
              <w:rPr>
                <w:rFonts w:ascii="Cambria Math" w:hAnsi="Cambria Math"/>
              </w:rPr>
              <m:t>q</m:t>
            </m:r>
          </m:den>
        </m:f>
      </m:oMath>
      <w:r>
        <w:t xml:space="preserve"> - время действия радиополя Н</w:t>
      </w:r>
      <w:r>
        <w:rPr>
          <w:vertAlign w:val="subscript"/>
        </w:rPr>
        <w:t>1</w:t>
      </w:r>
      <w:r>
        <w:t xml:space="preserve"> на сегмент жидкости в катушке нутации. </w:t>
      </w:r>
    </w:p>
    <w:p w:rsidR="00BD7DDE" w:rsidRDefault="00EF0A05" w:rsidP="00093DBC">
      <w:pPr>
        <w:ind w:firstLine="397"/>
        <w:jc w:val="both"/>
      </w:pPr>
      <w:r>
        <w:t>Нами было установлено, что для получения пол</w:t>
      </w:r>
      <w:r>
        <w:t>ной инверсии намагниченности в катушке нутации, необходимо выполнение следующего соотношения:</w:t>
      </w:r>
    </w:p>
    <w:p w:rsidR="00BD7DDE" w:rsidRDefault="00EF0A05">
      <w:pPr>
        <w:jc w:val="right"/>
      </w:pPr>
      <m:oMath>
        <m:r>
          <w:rPr>
            <w:rFonts w:ascii="Cambria Math" w:hAnsi="Cambria Math"/>
          </w:rPr>
          <m:t>∆</m:t>
        </m:r>
        <m: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н</m:t>
            </m:r>
          </m:sub>
        </m:sSub>
      </m:oMath>
      <w:r>
        <w:t xml:space="preserve">                                                               (2)</w:t>
      </w:r>
    </w:p>
    <w:p w:rsidR="00BD7DDE" w:rsidRDefault="00EF0A05">
      <w:pPr>
        <w:jc w:val="both"/>
      </w:pPr>
      <w:r>
        <w:t xml:space="preserve"> </w:t>
      </w:r>
      <w:proofErr w:type="gramStart"/>
      <w:r>
        <w:t>где</w:t>
      </w:r>
      <w:proofErr w:type="gramEnd"/>
      <w:r>
        <w:t xml:space="preserve">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н</m:t>
            </m:r>
          </m:sub>
        </m:sSub>
        <m:r>
          <w:rPr>
            <w:rFonts w:ascii="Cambria Math" w:hAnsi="Cambria Math"/>
          </w:rPr>
          <m:t>=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π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н</m:t>
                </m:r>
              </m:sub>
            </m:sSub>
          </m:den>
        </m:f>
      </m:oMath>
      <w:r>
        <w:t xml:space="preserve"> – период действия радиополя Н</w:t>
      </w:r>
      <w:r>
        <w:rPr>
          <w:vertAlign w:val="subscript"/>
        </w:rPr>
        <w:t>1</w:t>
      </w:r>
      <w:r>
        <w:t>.</w:t>
      </w:r>
    </w:p>
    <w:p w:rsidR="00BD7DDE" w:rsidRDefault="00EF0A05" w:rsidP="00093DBC">
      <w:pPr>
        <w:ind w:firstLine="397"/>
        <w:contextualSpacing/>
        <w:jc w:val="both"/>
      </w:pPr>
      <w:r>
        <w:t>Эти полученные результаты были использо</w:t>
      </w:r>
      <w:r>
        <w:t>ваны при изготовлении элементов конструкции магнитометра (измерительного зонда, сосудов поляризатора и анализатора), а также для определения параметров (константы релаксации и вязкость) рабочей жидкости. На рис. 1 представлен регистрируемый сигнал ЯМР с ин</w:t>
      </w:r>
      <w:r>
        <w:t>версией намагниченности на чистой воде для определения индукции магнитного поля (1).</w:t>
      </w:r>
    </w:p>
    <w:p w:rsidR="00BD7DDE" w:rsidRDefault="00BD7DDE">
      <w:pPr>
        <w:jc w:val="both"/>
      </w:pPr>
    </w:p>
    <w:p w:rsidR="00BD7DDE" w:rsidRDefault="00EF0A05">
      <w:pPr>
        <w:jc w:val="center"/>
      </w:pPr>
      <w:r>
        <w:rPr>
          <w:noProof/>
        </w:rPr>
        <w:drawing>
          <wp:inline distT="0" distB="0" distL="0" distR="0">
            <wp:extent cx="3248025" cy="2438400"/>
            <wp:effectExtent l="0" t="0" r="0" b="0"/>
            <wp:docPr id="1" name="Picture" descr="C:\Users\Anton\AppData\Local\Microsoft\Windows\INetCache\Content.Word\Рис. 8.2 - приборостр.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Anton\AppData\Local\Microsoft\Windows\INetCache\Content.Word\Рис. 8.2 - приборостр.-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000" w:rsidRDefault="00EF0A05" w:rsidP="00934000">
      <w:pPr>
        <w:jc w:val="center"/>
      </w:pPr>
      <w:r>
        <w:t xml:space="preserve">Рис. 1 Регистрируемый сигнал ЯМР с инверсией намагниченности </w:t>
      </w:r>
    </w:p>
    <w:p w:rsidR="00BD7DDE" w:rsidRDefault="00EF0A05" w:rsidP="00934000">
      <w:pPr>
        <w:jc w:val="center"/>
      </w:pPr>
      <w:proofErr w:type="gramStart"/>
      <w:r>
        <w:t>на</w:t>
      </w:r>
      <w:proofErr w:type="gramEnd"/>
      <w:r>
        <w:t xml:space="preserve"> частоте нутации </w:t>
      </w:r>
      <w:r>
        <w:rPr>
          <w:lang w:val="en-US"/>
        </w:rPr>
        <w:t>f</w:t>
      </w:r>
      <w:r>
        <w:rPr>
          <w:vertAlign w:val="subscript"/>
        </w:rPr>
        <w:t xml:space="preserve">н </w:t>
      </w:r>
      <w:r>
        <w:t xml:space="preserve"> = 2.114 Гц.</w:t>
      </w:r>
    </w:p>
    <w:p w:rsidR="00BD7DDE" w:rsidRDefault="00BD7DDE">
      <w:pPr>
        <w:ind w:firstLine="708"/>
        <w:jc w:val="both"/>
      </w:pPr>
    </w:p>
    <w:p w:rsidR="00BD7DDE" w:rsidRDefault="00EF0A05" w:rsidP="00093DBC">
      <w:pPr>
        <w:ind w:firstLine="397"/>
        <w:jc w:val="both"/>
      </w:pPr>
      <w:r>
        <w:t>Полученный результат измерения индукции магнитного поля В</w:t>
      </w:r>
      <w:r>
        <w:rPr>
          <w:vertAlign w:val="subscript"/>
        </w:rPr>
        <w:t>0</w:t>
      </w:r>
      <w:r>
        <w:t xml:space="preserve"> подтверждают результаты ранее выполненных исследований и работоспособность изготовленного магнитометра.</w:t>
      </w:r>
    </w:p>
    <w:p w:rsidR="00BD7DDE" w:rsidRDefault="00EF0A05">
      <w:pPr>
        <w:jc w:val="center"/>
      </w:pPr>
      <w:r>
        <w:t>СПИСОК ЛИТЕРАТУРЫ</w:t>
      </w:r>
    </w:p>
    <w:p w:rsidR="00BD7DDE" w:rsidRDefault="00BD7DDE" w:rsidP="00093DBC">
      <w:pPr>
        <w:ind w:firstLine="397"/>
        <w:jc w:val="center"/>
      </w:pPr>
    </w:p>
    <w:p w:rsidR="00BD7DDE" w:rsidRDefault="00EF0A05">
      <w:pPr>
        <w:numPr>
          <w:ilvl w:val="0"/>
          <w:numId w:val="1"/>
        </w:numPr>
        <w:jc w:val="both"/>
      </w:pPr>
      <w:r>
        <w:t xml:space="preserve">Александров Е.Б., </w:t>
      </w:r>
      <w:proofErr w:type="spellStart"/>
      <w:r>
        <w:t>Вершовский</w:t>
      </w:r>
      <w:proofErr w:type="spellEnd"/>
      <w:r>
        <w:t xml:space="preserve"> А.К. Современные </w:t>
      </w:r>
      <w:proofErr w:type="spellStart"/>
      <w:r>
        <w:t>радиоптические</w:t>
      </w:r>
      <w:proofErr w:type="spellEnd"/>
      <w:r>
        <w:t xml:space="preserve"> методы квантовой магнитометрии. // Успехи физических наук. 2009. Т. 179</w:t>
      </w:r>
      <w:r>
        <w:t>. № 6. С. 605 – 637.</w:t>
      </w:r>
    </w:p>
    <w:p w:rsidR="00BD7DDE" w:rsidRDefault="00EF0A05">
      <w:pPr>
        <w:numPr>
          <w:ilvl w:val="0"/>
          <w:numId w:val="1"/>
        </w:numPr>
        <w:jc w:val="both"/>
      </w:pPr>
      <w:r>
        <w:t xml:space="preserve">Александров Е.Б., </w:t>
      </w:r>
      <w:proofErr w:type="spellStart"/>
      <w:r>
        <w:t>Вершовский</w:t>
      </w:r>
      <w:proofErr w:type="spellEnd"/>
      <w:r>
        <w:t xml:space="preserve"> А.К., </w:t>
      </w:r>
      <w:proofErr w:type="spellStart"/>
      <w:r>
        <w:t>Пазгалев</w:t>
      </w:r>
      <w:proofErr w:type="spellEnd"/>
      <w:r>
        <w:t xml:space="preserve"> А.С. Магнитометр на симметричной паре переходов в сверхтонкой структуре </w:t>
      </w:r>
      <w:proofErr w:type="spellStart"/>
      <w:r>
        <w:rPr>
          <w:lang w:val="en-US"/>
        </w:rPr>
        <w:t>Rb</w:t>
      </w:r>
      <w:proofErr w:type="spellEnd"/>
      <w:r>
        <w:t xml:space="preserve"> – 87. // Журнал технической физики. 2006. Т. 76. № 7. С. 1</w:t>
      </w:r>
      <w:r>
        <w:rPr>
          <w:lang w:val="en-US"/>
        </w:rPr>
        <w:t>03</w:t>
      </w:r>
      <w:r>
        <w:t xml:space="preserve"> – </w:t>
      </w:r>
      <w:r>
        <w:rPr>
          <w:lang w:val="en-US"/>
        </w:rPr>
        <w:t>107</w:t>
      </w:r>
      <w:r>
        <w:t>.</w:t>
      </w:r>
    </w:p>
    <w:p w:rsidR="00BD7DDE" w:rsidRDefault="00EF0A05">
      <w:pPr>
        <w:numPr>
          <w:ilvl w:val="0"/>
          <w:numId w:val="1"/>
        </w:numPr>
        <w:jc w:val="both"/>
      </w:pPr>
      <w:r>
        <w:t xml:space="preserve">Жерновой А.И. Измерение магнитных полей методом </w:t>
      </w:r>
      <w:r>
        <w:t>нутации. Л.: Энергия, 1979, 104 с.</w:t>
      </w:r>
    </w:p>
    <w:p w:rsidR="00BD7DDE" w:rsidRDefault="00EF0A05">
      <w:pPr>
        <w:numPr>
          <w:ilvl w:val="0"/>
          <w:numId w:val="1"/>
        </w:numPr>
        <w:jc w:val="both"/>
      </w:pPr>
      <w:r>
        <w:t>ГОСТ 8.144 – 75. Государственный специальный эталон и общесоюзная поверочная схема для средств измерения магнитной индукции в диапазоне 0.05 – 2 Тл.</w:t>
      </w:r>
    </w:p>
    <w:p w:rsidR="00BD7DDE" w:rsidRDefault="00BD7DDE">
      <w:pPr>
        <w:spacing w:line="360" w:lineRule="auto"/>
        <w:jc w:val="both"/>
      </w:pPr>
    </w:p>
    <w:sectPr w:rsidR="00BD7DDE">
      <w:pgSz w:w="11906" w:h="16838"/>
      <w:pgMar w:top="1134" w:right="1361" w:bottom="1259" w:left="136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C657D"/>
    <w:multiLevelType w:val="multilevel"/>
    <w:tmpl w:val="569AE8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FB0C51"/>
    <w:multiLevelType w:val="multilevel"/>
    <w:tmpl w:val="6D00FE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DDE"/>
    <w:rsid w:val="00093DBC"/>
    <w:rsid w:val="00934000"/>
    <w:rsid w:val="00B04251"/>
    <w:rsid w:val="00BD7DDE"/>
    <w:rsid w:val="00E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C2FF2-62FC-4B1C-BBDF-6ED58BBC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rsid w:val="00E506F3"/>
    <w:rPr>
      <w:rFonts w:ascii="Tahoma" w:hAnsi="Tahoma" w:cs="Tahoma"/>
      <w:sz w:val="16"/>
      <w:szCs w:val="16"/>
    </w:rPr>
  </w:style>
  <w:style w:type="character" w:styleId="a4">
    <w:name w:val="Emphasis"/>
    <w:uiPriority w:val="20"/>
    <w:qFormat/>
    <w:rsid w:val="00CB6675"/>
    <w:rPr>
      <w:i/>
      <w:iCs/>
    </w:rPr>
  </w:style>
  <w:style w:type="character" w:customStyle="1" w:styleId="apple-converted-space">
    <w:name w:val="apple-converted-space"/>
    <w:rsid w:val="00CB6675"/>
  </w:style>
  <w:style w:type="character" w:customStyle="1" w:styleId="-">
    <w:name w:val="Интернет-ссылка"/>
    <w:basedOn w:val="a0"/>
    <w:uiPriority w:val="99"/>
    <w:unhideWhenUsed/>
    <w:rsid w:val="00CB6675"/>
    <w:rPr>
      <w:color w:val="0563C1"/>
      <w:u w:val="single"/>
    </w:rPr>
  </w:style>
  <w:style w:type="character" w:styleId="a5">
    <w:name w:val="Placeholder Text"/>
    <w:basedOn w:val="a0"/>
    <w:uiPriority w:val="99"/>
    <w:semiHidden/>
    <w:rsid w:val="00E2356D"/>
    <w:rPr>
      <w:color w:val="808080"/>
    </w:rPr>
  </w:style>
  <w:style w:type="character" w:customStyle="1" w:styleId="ListLabel1">
    <w:name w:val="ListLabel 1"/>
    <w:rPr>
      <w:rFonts w:cs="Times New Roman"/>
      <w:b w:val="0"/>
      <w:i w:val="0"/>
      <w:sz w:val="20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ab">
    <w:name w:val="Литература"/>
    <w:basedOn w:val="a"/>
    <w:rsid w:val="00AA3624"/>
    <w:pPr>
      <w:keepLines/>
      <w:spacing w:after="120" w:line="360" w:lineRule="auto"/>
      <w:ind w:left="340" w:hanging="340"/>
      <w:jc w:val="both"/>
      <w:textAlignment w:val="baseline"/>
    </w:pPr>
    <w:rPr>
      <w:sz w:val="28"/>
      <w:szCs w:val="20"/>
    </w:rPr>
  </w:style>
  <w:style w:type="paragraph" w:customStyle="1" w:styleId="ac">
    <w:name w:val="Рек. право"/>
    <w:basedOn w:val="a"/>
    <w:rsid w:val="00AA3624"/>
    <w:pPr>
      <w:keepLines/>
      <w:spacing w:line="360" w:lineRule="auto"/>
      <w:ind w:firstLine="567"/>
      <w:jc w:val="right"/>
      <w:textAlignment w:val="baseline"/>
    </w:pPr>
    <w:rPr>
      <w:rFonts w:ascii="Arial" w:hAnsi="Arial"/>
      <w:sz w:val="18"/>
      <w:szCs w:val="20"/>
    </w:rPr>
  </w:style>
  <w:style w:type="paragraph" w:customStyle="1" w:styleId="ad">
    <w:name w:val="Рекомендация"/>
    <w:basedOn w:val="a"/>
    <w:rsid w:val="00AA3624"/>
    <w:pPr>
      <w:keepLines/>
      <w:spacing w:line="360" w:lineRule="auto"/>
      <w:jc w:val="both"/>
      <w:textAlignment w:val="baseline"/>
    </w:pPr>
    <w:rPr>
      <w:rFonts w:ascii="Arial" w:hAnsi="Arial"/>
      <w:sz w:val="18"/>
      <w:szCs w:val="20"/>
    </w:rPr>
  </w:style>
  <w:style w:type="paragraph" w:styleId="ae">
    <w:name w:val="Balloon Text"/>
    <w:basedOn w:val="a"/>
    <w:uiPriority w:val="99"/>
    <w:semiHidden/>
    <w:unhideWhenUsed/>
    <w:rsid w:val="00E506F3"/>
    <w:rPr>
      <w:rFonts w:ascii="Tahoma" w:hAnsi="Tahoma"/>
      <w:sz w:val="16"/>
      <w:szCs w:val="16"/>
      <w:lang w:val="x-none" w:eastAsia="x-none"/>
    </w:rPr>
  </w:style>
  <w:style w:type="table" w:styleId="af">
    <w:name w:val="Table Grid"/>
    <w:basedOn w:val="a1"/>
    <w:uiPriority w:val="59"/>
    <w:rsid w:val="00001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ACD0-3814-431E-8AA1-D5331779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SPecialiST RePack</Company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creator>Домашний компьютер</dc:creator>
  <cp:lastModifiedBy>Anton Karseev</cp:lastModifiedBy>
  <cp:revision>9</cp:revision>
  <cp:lastPrinted>2013-09-22T19:09:00Z</cp:lastPrinted>
  <dcterms:created xsi:type="dcterms:W3CDTF">2014-02-16T20:53:00Z</dcterms:created>
  <dcterms:modified xsi:type="dcterms:W3CDTF">2014-02-18T13:24:00Z</dcterms:modified>
  <dc:language>ru-RU</dc:language>
</cp:coreProperties>
</file>